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2AEF6" w14:textId="39F54403" w:rsidR="008F55FB" w:rsidRDefault="00E479F0" w:rsidP="001F1032">
      <w:pPr>
        <w:tabs>
          <w:tab w:val="left" w:pos="5954"/>
        </w:tabs>
        <w:spacing w:line="240" w:lineRule="auto"/>
        <w:rPr>
          <w:rStyle w:val="SubtleEmphasis"/>
          <w:rFonts w:ascii="Arial" w:hAnsi="Arial" w:cs="Arial"/>
          <w:i w:val="0"/>
          <w:iCs w:val="0"/>
          <w:color w:val="auto"/>
          <w:szCs w:val="22"/>
          <w:lang w:val="fi-FI"/>
        </w:rPr>
      </w:pPr>
      <w:r w:rsidRPr="00651DC6">
        <w:rPr>
          <w:rFonts w:ascii="Arial" w:hAnsi="Arial" w:cs="Arial"/>
          <w:szCs w:val="22"/>
          <w:lang w:val="fi-FI"/>
        </w:rPr>
        <w:t xml:space="preserve">KONECRANES OYJ  PÖRSSITIEDOTE </w:t>
      </w:r>
      <w:r w:rsidR="00CE0881">
        <w:rPr>
          <w:rFonts w:ascii="Arial" w:hAnsi="Arial" w:cs="Arial"/>
          <w:szCs w:val="22"/>
          <w:lang w:val="fi-FI"/>
        </w:rPr>
        <w:t>28</w:t>
      </w:r>
      <w:r w:rsidR="00815B1B" w:rsidRPr="00651DC6">
        <w:rPr>
          <w:rFonts w:ascii="Arial" w:hAnsi="Arial" w:cs="Arial"/>
          <w:szCs w:val="22"/>
          <w:lang w:val="fi-FI"/>
        </w:rPr>
        <w:t>.</w:t>
      </w:r>
      <w:r w:rsidR="00115D4B" w:rsidRPr="00651DC6">
        <w:rPr>
          <w:rFonts w:ascii="Arial" w:hAnsi="Arial" w:cs="Arial"/>
          <w:szCs w:val="22"/>
          <w:lang w:val="fi-FI"/>
        </w:rPr>
        <w:t>3</w:t>
      </w:r>
      <w:bookmarkStart w:id="0" w:name="_GoBack"/>
      <w:bookmarkEnd w:id="0"/>
      <w:r w:rsidR="00F358D4" w:rsidRPr="00651DC6">
        <w:rPr>
          <w:rFonts w:ascii="Arial" w:hAnsi="Arial" w:cs="Arial"/>
          <w:szCs w:val="22"/>
          <w:lang w:val="fi-FI"/>
        </w:rPr>
        <w:t>.201</w:t>
      </w:r>
      <w:r w:rsidR="00CE0881">
        <w:rPr>
          <w:rFonts w:ascii="Arial" w:hAnsi="Arial" w:cs="Arial"/>
          <w:szCs w:val="22"/>
          <w:lang w:val="fi-FI"/>
        </w:rPr>
        <w:t>9</w:t>
      </w:r>
      <w:r w:rsidRPr="00651DC6">
        <w:rPr>
          <w:rFonts w:ascii="Arial" w:hAnsi="Arial" w:cs="Arial"/>
          <w:szCs w:val="22"/>
          <w:lang w:val="fi-FI"/>
        </w:rPr>
        <w:t xml:space="preserve"> klo </w:t>
      </w:r>
      <w:r w:rsidR="0072512D">
        <w:rPr>
          <w:rFonts w:ascii="Arial" w:hAnsi="Arial" w:cs="Arial"/>
          <w:szCs w:val="22"/>
          <w:lang w:val="fi-FI"/>
        </w:rPr>
        <w:t>12</w:t>
      </w:r>
      <w:r w:rsidR="00315B9D">
        <w:rPr>
          <w:rFonts w:ascii="Arial" w:hAnsi="Arial" w:cs="Arial"/>
          <w:szCs w:val="22"/>
          <w:lang w:val="fi-FI"/>
        </w:rPr>
        <w:t>.3</w:t>
      </w:r>
      <w:r w:rsidR="005D3C07">
        <w:rPr>
          <w:rFonts w:ascii="Arial" w:hAnsi="Arial" w:cs="Arial"/>
          <w:szCs w:val="22"/>
          <w:lang w:val="fi-FI"/>
        </w:rPr>
        <w:t>0</w:t>
      </w:r>
      <w:r w:rsidR="008B5D60" w:rsidRPr="00651DC6">
        <w:rPr>
          <w:rFonts w:ascii="Arial" w:hAnsi="Arial" w:cs="Arial"/>
          <w:szCs w:val="22"/>
          <w:lang w:val="fi-FI"/>
        </w:rPr>
        <w:br/>
      </w:r>
      <w:r w:rsidRPr="00651DC6">
        <w:rPr>
          <w:rFonts w:ascii="Arial" w:hAnsi="Arial" w:cs="Arial"/>
          <w:szCs w:val="22"/>
          <w:lang w:val="fi-FI"/>
        </w:rPr>
        <w:br/>
      </w:r>
      <w:r w:rsidR="00115D4B" w:rsidRPr="00651DC6">
        <w:rPr>
          <w:rStyle w:val="SubtleEmphasis"/>
          <w:rFonts w:ascii="Arial" w:hAnsi="Arial" w:cs="Arial"/>
          <w:b/>
          <w:i w:val="0"/>
          <w:iCs w:val="0"/>
          <w:color w:val="auto"/>
          <w:szCs w:val="22"/>
          <w:lang w:val="fi-FI"/>
        </w:rPr>
        <w:t>KONECRANES OYJ:N VARSINAISEN YHTIÖKOKOUKSEN PÄÄTÖKSET</w:t>
      </w:r>
      <w:r w:rsidR="008B5D60" w:rsidRPr="00651DC6">
        <w:rPr>
          <w:rStyle w:val="SubtleEmphasis"/>
          <w:rFonts w:ascii="Arial" w:hAnsi="Arial" w:cs="Arial"/>
          <w:b/>
          <w:i w:val="0"/>
          <w:iCs w:val="0"/>
          <w:color w:val="auto"/>
          <w:szCs w:val="22"/>
          <w:lang w:val="fi-FI"/>
        </w:rPr>
        <w:br/>
      </w:r>
      <w:r w:rsidR="008B5D60" w:rsidRPr="00651DC6">
        <w:rPr>
          <w:rStyle w:val="SubtleEmphasis"/>
          <w:rFonts w:ascii="Arial" w:hAnsi="Arial" w:cs="Arial"/>
          <w:b/>
          <w:i w:val="0"/>
          <w:iCs w:val="0"/>
          <w:color w:val="auto"/>
          <w:szCs w:val="22"/>
          <w:lang w:val="fi-FI"/>
        </w:rPr>
        <w:br/>
      </w:r>
      <w:r w:rsidR="007871B7" w:rsidRPr="00651DC6">
        <w:rPr>
          <w:rFonts w:ascii="Arial" w:hAnsi="Arial" w:cs="Arial"/>
          <w:szCs w:val="22"/>
          <w:lang w:val="fi-FI"/>
        </w:rPr>
        <w:t>Konecranes Oyj:n varsinai</w:t>
      </w:r>
      <w:r w:rsidR="00F951B5" w:rsidRPr="00651DC6">
        <w:rPr>
          <w:rFonts w:ascii="Arial" w:hAnsi="Arial" w:cs="Arial"/>
          <w:szCs w:val="22"/>
          <w:lang w:val="fi-FI"/>
        </w:rPr>
        <w:t>nen</w:t>
      </w:r>
      <w:r w:rsidR="007871B7" w:rsidRPr="00651DC6">
        <w:rPr>
          <w:rFonts w:ascii="Arial" w:hAnsi="Arial" w:cs="Arial"/>
          <w:szCs w:val="22"/>
          <w:lang w:val="fi-FI"/>
        </w:rPr>
        <w:t xml:space="preserve"> yhtiökokou</w:t>
      </w:r>
      <w:r w:rsidR="00F951B5" w:rsidRPr="00651DC6">
        <w:rPr>
          <w:rFonts w:ascii="Arial" w:hAnsi="Arial" w:cs="Arial"/>
          <w:szCs w:val="22"/>
          <w:lang w:val="fi-FI"/>
        </w:rPr>
        <w:t>s pidettiin tänään</w:t>
      </w:r>
      <w:r w:rsidR="007871B7" w:rsidRPr="00651DC6">
        <w:rPr>
          <w:rFonts w:ascii="Arial" w:hAnsi="Arial" w:cs="Arial"/>
          <w:szCs w:val="22"/>
          <w:lang w:val="fi-FI"/>
        </w:rPr>
        <w:t xml:space="preserve"> </w:t>
      </w:r>
      <w:r w:rsidR="00613DC3">
        <w:rPr>
          <w:rFonts w:ascii="Arial" w:hAnsi="Arial" w:cs="Arial"/>
          <w:szCs w:val="22"/>
          <w:lang w:val="fi-FI"/>
        </w:rPr>
        <w:t>tors</w:t>
      </w:r>
      <w:r w:rsidR="005D3C07">
        <w:rPr>
          <w:rFonts w:ascii="Arial" w:hAnsi="Arial" w:cs="Arial"/>
          <w:szCs w:val="22"/>
          <w:lang w:val="fi-FI"/>
        </w:rPr>
        <w:t>tai</w:t>
      </w:r>
      <w:r w:rsidR="0048474B" w:rsidRPr="00651DC6">
        <w:rPr>
          <w:rFonts w:ascii="Arial" w:hAnsi="Arial" w:cs="Arial"/>
          <w:szCs w:val="22"/>
          <w:lang w:val="fi-FI"/>
        </w:rPr>
        <w:t>na</w:t>
      </w:r>
      <w:r w:rsidR="007871B7" w:rsidRPr="00651DC6">
        <w:rPr>
          <w:rFonts w:ascii="Arial" w:hAnsi="Arial" w:cs="Arial"/>
          <w:szCs w:val="22"/>
          <w:lang w:val="fi-FI"/>
        </w:rPr>
        <w:t xml:space="preserve"> </w:t>
      </w:r>
      <w:r w:rsidR="00A07F1A" w:rsidRPr="00651DC6">
        <w:rPr>
          <w:rFonts w:ascii="Arial" w:hAnsi="Arial" w:cs="Arial"/>
          <w:szCs w:val="22"/>
          <w:lang w:val="fi-FI"/>
        </w:rPr>
        <w:t>2</w:t>
      </w:r>
      <w:r w:rsidR="00613DC3">
        <w:rPr>
          <w:rFonts w:ascii="Arial" w:hAnsi="Arial" w:cs="Arial"/>
          <w:szCs w:val="22"/>
          <w:lang w:val="fi-FI"/>
        </w:rPr>
        <w:t>8</w:t>
      </w:r>
      <w:r w:rsidR="007871B7" w:rsidRPr="00651DC6">
        <w:rPr>
          <w:rFonts w:ascii="Arial" w:hAnsi="Arial" w:cs="Arial"/>
          <w:szCs w:val="22"/>
          <w:lang w:val="fi-FI"/>
        </w:rPr>
        <w:t>.3.201</w:t>
      </w:r>
      <w:r w:rsidR="00CE0881">
        <w:rPr>
          <w:rFonts w:ascii="Arial" w:hAnsi="Arial" w:cs="Arial"/>
          <w:szCs w:val="22"/>
          <w:lang w:val="fi-FI"/>
        </w:rPr>
        <w:t>9</w:t>
      </w:r>
      <w:r w:rsidR="007871B7" w:rsidRPr="00651DC6">
        <w:rPr>
          <w:rFonts w:ascii="Arial" w:hAnsi="Arial" w:cs="Arial"/>
          <w:szCs w:val="22"/>
          <w:lang w:val="fi-FI"/>
        </w:rPr>
        <w:t xml:space="preserve"> klo 1</w:t>
      </w:r>
      <w:r w:rsidR="007C6E36" w:rsidRPr="00651DC6">
        <w:rPr>
          <w:rFonts w:ascii="Arial" w:hAnsi="Arial" w:cs="Arial"/>
          <w:szCs w:val="22"/>
          <w:lang w:val="fi-FI"/>
        </w:rPr>
        <w:t>0</w:t>
      </w:r>
      <w:r w:rsidR="007871B7" w:rsidRPr="00651DC6">
        <w:rPr>
          <w:rFonts w:ascii="Arial" w:hAnsi="Arial" w:cs="Arial"/>
          <w:szCs w:val="22"/>
          <w:lang w:val="fi-FI"/>
        </w:rPr>
        <w:t>.00 Hyvinkää</w:t>
      </w:r>
      <w:r w:rsidR="00F951B5" w:rsidRPr="00651DC6">
        <w:rPr>
          <w:rFonts w:ascii="Arial" w:hAnsi="Arial" w:cs="Arial"/>
          <w:szCs w:val="22"/>
          <w:lang w:val="fi-FI"/>
        </w:rPr>
        <w:t>llä</w:t>
      </w:r>
      <w:r w:rsidR="007871B7" w:rsidRPr="00651DC6">
        <w:rPr>
          <w:rFonts w:ascii="Arial" w:hAnsi="Arial" w:cs="Arial"/>
          <w:szCs w:val="22"/>
          <w:lang w:val="fi-FI"/>
        </w:rPr>
        <w:t xml:space="preserve">. </w:t>
      </w:r>
      <w:r w:rsidR="00F951B5" w:rsidRPr="00651DC6">
        <w:rPr>
          <w:rFonts w:ascii="Arial" w:hAnsi="Arial" w:cs="Arial"/>
          <w:szCs w:val="22"/>
          <w:lang w:val="fi-FI"/>
        </w:rPr>
        <w:t xml:space="preserve">Yhtiökokous vahvisti yhtiön </w:t>
      </w:r>
      <w:r w:rsidR="0048474B" w:rsidRPr="00651DC6">
        <w:rPr>
          <w:rFonts w:ascii="Arial" w:hAnsi="Arial" w:cs="Arial"/>
          <w:szCs w:val="22"/>
          <w:lang w:val="fi-FI"/>
        </w:rPr>
        <w:t>tilinpäätöksen tilikaudelta 201</w:t>
      </w:r>
      <w:r w:rsidR="00613DC3">
        <w:rPr>
          <w:rFonts w:ascii="Arial" w:hAnsi="Arial" w:cs="Arial"/>
          <w:szCs w:val="22"/>
          <w:lang w:val="fi-FI"/>
        </w:rPr>
        <w:t>8</w:t>
      </w:r>
      <w:r w:rsidR="00C7721F">
        <w:rPr>
          <w:rFonts w:ascii="Arial" w:hAnsi="Arial" w:cs="Arial"/>
          <w:szCs w:val="22"/>
          <w:lang w:val="fi-FI"/>
        </w:rPr>
        <w:t>,</w:t>
      </w:r>
      <w:r w:rsidR="00F951B5" w:rsidRPr="00651DC6">
        <w:rPr>
          <w:rFonts w:ascii="Arial" w:hAnsi="Arial" w:cs="Arial"/>
          <w:szCs w:val="22"/>
          <w:lang w:val="fi-FI"/>
        </w:rPr>
        <w:t xml:space="preserve"> myönsi vastuuvapauden hallituksen jäsenille ja </w:t>
      </w:r>
      <w:r w:rsidR="009F53DC" w:rsidRPr="00651DC6">
        <w:rPr>
          <w:rFonts w:ascii="Arial" w:hAnsi="Arial" w:cs="Arial"/>
          <w:szCs w:val="22"/>
          <w:lang w:val="fi-FI"/>
        </w:rPr>
        <w:t>toimitusjohtaj</w:t>
      </w:r>
      <w:r w:rsidR="009F53DC">
        <w:rPr>
          <w:rFonts w:ascii="Arial" w:hAnsi="Arial" w:cs="Arial"/>
          <w:szCs w:val="22"/>
          <w:lang w:val="fi-FI"/>
        </w:rPr>
        <w:t>a</w:t>
      </w:r>
      <w:r w:rsidR="009F53DC" w:rsidRPr="00651DC6">
        <w:rPr>
          <w:rFonts w:ascii="Arial" w:hAnsi="Arial" w:cs="Arial"/>
          <w:szCs w:val="22"/>
          <w:lang w:val="fi-FI"/>
        </w:rPr>
        <w:t>lle</w:t>
      </w:r>
      <w:r w:rsidR="00C7721F">
        <w:rPr>
          <w:rFonts w:ascii="Arial" w:hAnsi="Arial" w:cs="Arial"/>
          <w:szCs w:val="22"/>
          <w:lang w:val="fi-FI"/>
        </w:rPr>
        <w:t xml:space="preserve"> sekä hyväksyi kaikki hallituksen ja sen valiokuntien ehdotukset yhtiökokoukselle</w:t>
      </w:r>
      <w:r w:rsidR="00F951B5" w:rsidRPr="00651DC6">
        <w:rPr>
          <w:rFonts w:ascii="Arial" w:hAnsi="Arial" w:cs="Arial"/>
          <w:szCs w:val="22"/>
          <w:lang w:val="fi-FI"/>
        </w:rPr>
        <w:t>.</w:t>
      </w:r>
      <w:r w:rsidR="00A453E9" w:rsidRPr="00651DC6">
        <w:rPr>
          <w:rFonts w:ascii="Arial" w:hAnsi="Arial" w:cs="Arial"/>
          <w:szCs w:val="22"/>
          <w:lang w:val="fi-FI"/>
        </w:rPr>
        <w:t xml:space="preserve"> </w:t>
      </w:r>
      <w:r w:rsidR="008B5D60" w:rsidRPr="00651DC6">
        <w:rPr>
          <w:rFonts w:ascii="Arial" w:hAnsi="Arial" w:cs="Arial"/>
          <w:szCs w:val="22"/>
          <w:lang w:val="fi-FI"/>
        </w:rPr>
        <w:br/>
      </w:r>
      <w:r w:rsidR="008B5D60" w:rsidRPr="00651DC6">
        <w:rPr>
          <w:rFonts w:ascii="Arial" w:hAnsi="Arial" w:cs="Arial"/>
          <w:szCs w:val="22"/>
          <w:lang w:val="fi-FI"/>
        </w:rPr>
        <w:br/>
      </w:r>
      <w:r w:rsidR="00F951B5" w:rsidRPr="00651DC6">
        <w:rPr>
          <w:rStyle w:val="SubtleEmphasis"/>
          <w:rFonts w:ascii="Arial" w:hAnsi="Arial" w:cs="Arial"/>
          <w:b/>
          <w:i w:val="0"/>
          <w:iCs w:val="0"/>
          <w:color w:val="auto"/>
          <w:szCs w:val="22"/>
          <w:lang w:val="fi-FI"/>
        </w:rPr>
        <w:t xml:space="preserve">Osingonmaksu </w:t>
      </w:r>
      <w:r w:rsidR="008B5D60" w:rsidRPr="00651DC6">
        <w:rPr>
          <w:rStyle w:val="SubtleEmphasis"/>
          <w:rFonts w:ascii="Arial" w:hAnsi="Arial" w:cs="Arial"/>
          <w:b/>
          <w:i w:val="0"/>
          <w:iCs w:val="0"/>
          <w:color w:val="auto"/>
          <w:szCs w:val="22"/>
          <w:lang w:val="fi-FI"/>
        </w:rPr>
        <w:br/>
      </w:r>
      <w:r w:rsidR="008B5D60" w:rsidRPr="00651DC6">
        <w:rPr>
          <w:rStyle w:val="SubtleEmphasis"/>
          <w:rFonts w:ascii="Arial" w:hAnsi="Arial" w:cs="Arial"/>
          <w:b/>
          <w:i w:val="0"/>
          <w:iCs w:val="0"/>
          <w:color w:val="auto"/>
          <w:szCs w:val="22"/>
          <w:lang w:val="fi-FI"/>
        </w:rPr>
        <w:br/>
      </w:r>
      <w:r w:rsidR="00F951B5" w:rsidRPr="00651DC6">
        <w:rPr>
          <w:rStyle w:val="SubtleEmphasis"/>
          <w:rFonts w:ascii="Arial" w:hAnsi="Arial" w:cs="Arial"/>
          <w:i w:val="0"/>
          <w:iCs w:val="0"/>
          <w:color w:val="auto"/>
          <w:szCs w:val="22"/>
          <w:lang w:val="fi-FI"/>
        </w:rPr>
        <w:t>Yhtiökokous päätti h</w:t>
      </w:r>
      <w:r w:rsidR="001C515E" w:rsidRPr="00651DC6">
        <w:rPr>
          <w:rStyle w:val="SubtleEmphasis"/>
          <w:rFonts w:ascii="Arial" w:hAnsi="Arial" w:cs="Arial"/>
          <w:i w:val="0"/>
          <w:iCs w:val="0"/>
          <w:color w:val="auto"/>
          <w:szCs w:val="22"/>
          <w:lang w:val="fi-FI"/>
        </w:rPr>
        <w:t>allitu</w:t>
      </w:r>
      <w:r w:rsidR="00F951B5" w:rsidRPr="00651DC6">
        <w:rPr>
          <w:rStyle w:val="SubtleEmphasis"/>
          <w:rFonts w:ascii="Arial" w:hAnsi="Arial" w:cs="Arial"/>
          <w:i w:val="0"/>
          <w:iCs w:val="0"/>
          <w:color w:val="auto"/>
          <w:szCs w:val="22"/>
          <w:lang w:val="fi-FI"/>
        </w:rPr>
        <w:t>k</w:t>
      </w:r>
      <w:r w:rsidR="001C515E" w:rsidRPr="00651DC6">
        <w:rPr>
          <w:rStyle w:val="SubtleEmphasis"/>
          <w:rFonts w:ascii="Arial" w:hAnsi="Arial" w:cs="Arial"/>
          <w:i w:val="0"/>
          <w:iCs w:val="0"/>
          <w:color w:val="auto"/>
          <w:szCs w:val="22"/>
          <w:lang w:val="fi-FI"/>
        </w:rPr>
        <w:t>s</w:t>
      </w:r>
      <w:r w:rsidR="00F951B5" w:rsidRPr="00651DC6">
        <w:rPr>
          <w:rStyle w:val="SubtleEmphasis"/>
          <w:rFonts w:ascii="Arial" w:hAnsi="Arial" w:cs="Arial"/>
          <w:i w:val="0"/>
          <w:iCs w:val="0"/>
          <w:color w:val="auto"/>
          <w:szCs w:val="22"/>
          <w:lang w:val="fi-FI"/>
        </w:rPr>
        <w:t>en ehdotuksen mukaisesti</w:t>
      </w:r>
      <w:r w:rsidR="001C515E" w:rsidRPr="00651DC6">
        <w:rPr>
          <w:rStyle w:val="SubtleEmphasis"/>
          <w:rFonts w:ascii="Arial" w:hAnsi="Arial" w:cs="Arial"/>
          <w:i w:val="0"/>
          <w:iCs w:val="0"/>
          <w:color w:val="auto"/>
          <w:szCs w:val="22"/>
          <w:lang w:val="fi-FI"/>
        </w:rPr>
        <w:t>,</w:t>
      </w:r>
      <w:r w:rsidR="00F951B5" w:rsidRPr="00651DC6">
        <w:rPr>
          <w:rStyle w:val="SubtleEmphasis"/>
          <w:rFonts w:ascii="Arial" w:hAnsi="Arial" w:cs="Arial"/>
          <w:i w:val="0"/>
          <w:iCs w:val="0"/>
          <w:color w:val="auto"/>
          <w:szCs w:val="22"/>
          <w:lang w:val="fi-FI"/>
        </w:rPr>
        <w:t xml:space="preserve"> </w:t>
      </w:r>
      <w:r w:rsidR="001C515E" w:rsidRPr="00651DC6">
        <w:rPr>
          <w:rStyle w:val="SubtleEmphasis"/>
          <w:rFonts w:ascii="Arial" w:hAnsi="Arial" w:cs="Arial"/>
          <w:i w:val="0"/>
          <w:iCs w:val="0"/>
          <w:color w:val="auto"/>
          <w:szCs w:val="22"/>
          <w:lang w:val="fi-FI"/>
        </w:rPr>
        <w:t xml:space="preserve">että emoyhtiön jakokelpoisista varoista maksetaan osinkoa </w:t>
      </w:r>
      <w:r w:rsidR="008D3A84" w:rsidRPr="00651DC6">
        <w:rPr>
          <w:rStyle w:val="SubtleEmphasis"/>
          <w:rFonts w:ascii="Arial" w:hAnsi="Arial" w:cs="Arial"/>
          <w:i w:val="0"/>
          <w:iCs w:val="0"/>
          <w:color w:val="auto"/>
          <w:szCs w:val="22"/>
          <w:lang w:val="fi-FI"/>
        </w:rPr>
        <w:t>1,</w:t>
      </w:r>
      <w:r w:rsidR="005D3C07">
        <w:rPr>
          <w:rStyle w:val="SubtleEmphasis"/>
          <w:rFonts w:ascii="Arial" w:hAnsi="Arial" w:cs="Arial"/>
          <w:i w:val="0"/>
          <w:iCs w:val="0"/>
          <w:color w:val="auto"/>
          <w:szCs w:val="22"/>
          <w:lang w:val="fi-FI"/>
        </w:rPr>
        <w:t>20</w:t>
      </w:r>
      <w:r w:rsidR="001C515E" w:rsidRPr="00651DC6">
        <w:rPr>
          <w:rStyle w:val="SubtleEmphasis"/>
          <w:rFonts w:ascii="Arial" w:hAnsi="Arial" w:cs="Arial"/>
          <w:i w:val="0"/>
          <w:iCs w:val="0"/>
          <w:color w:val="auto"/>
          <w:szCs w:val="22"/>
          <w:lang w:val="fi-FI"/>
        </w:rPr>
        <w:t xml:space="preserve"> euroa osakkeelta. Osinko maksetaan osakkeenomistajille, jotka</w:t>
      </w:r>
      <w:r w:rsidR="00613DC3">
        <w:rPr>
          <w:rStyle w:val="SubtleEmphasis"/>
          <w:rFonts w:ascii="Arial" w:hAnsi="Arial" w:cs="Arial"/>
          <w:i w:val="0"/>
          <w:iCs w:val="0"/>
          <w:color w:val="auto"/>
          <w:szCs w:val="22"/>
          <w:lang w:val="fi-FI"/>
        </w:rPr>
        <w:t xml:space="preserve"> osingonmaksun täsmäytyspäivänä 1.4.2019</w:t>
      </w:r>
      <w:r w:rsidR="001C515E" w:rsidRPr="00651DC6">
        <w:rPr>
          <w:rStyle w:val="SubtleEmphasis"/>
          <w:rFonts w:ascii="Arial" w:hAnsi="Arial" w:cs="Arial"/>
          <w:i w:val="0"/>
          <w:iCs w:val="0"/>
          <w:color w:val="auto"/>
          <w:szCs w:val="22"/>
          <w:lang w:val="fi-FI"/>
        </w:rPr>
        <w:t xml:space="preserve"> ovat merkittyinä Euroclear Finland Oy:n pitämään yhtiön osak</w:t>
      </w:r>
      <w:r w:rsidR="007C6E36" w:rsidRPr="00651DC6">
        <w:rPr>
          <w:rStyle w:val="SubtleEmphasis"/>
          <w:rFonts w:ascii="Arial" w:hAnsi="Arial" w:cs="Arial"/>
          <w:i w:val="0"/>
          <w:iCs w:val="0"/>
          <w:color w:val="auto"/>
          <w:szCs w:val="22"/>
          <w:lang w:val="fi-FI"/>
        </w:rPr>
        <w:t xml:space="preserve">asluetteloon. Osinko maksetaan </w:t>
      </w:r>
      <w:r w:rsidR="00613DC3">
        <w:rPr>
          <w:rStyle w:val="SubtleEmphasis"/>
          <w:rFonts w:ascii="Arial" w:hAnsi="Arial" w:cs="Arial"/>
          <w:i w:val="0"/>
          <w:iCs w:val="0"/>
          <w:color w:val="auto"/>
          <w:szCs w:val="22"/>
          <w:lang w:val="fi-FI"/>
        </w:rPr>
        <w:t>9</w:t>
      </w:r>
      <w:r w:rsidR="00A07F1A" w:rsidRPr="00651DC6">
        <w:rPr>
          <w:rStyle w:val="SubtleEmphasis"/>
          <w:rFonts w:ascii="Arial" w:hAnsi="Arial" w:cs="Arial"/>
          <w:i w:val="0"/>
          <w:iCs w:val="0"/>
          <w:color w:val="auto"/>
          <w:szCs w:val="22"/>
          <w:lang w:val="fi-FI"/>
        </w:rPr>
        <w:t>.4.201</w:t>
      </w:r>
      <w:r w:rsidR="00613DC3">
        <w:rPr>
          <w:rStyle w:val="SubtleEmphasis"/>
          <w:rFonts w:ascii="Arial" w:hAnsi="Arial" w:cs="Arial"/>
          <w:i w:val="0"/>
          <w:iCs w:val="0"/>
          <w:color w:val="auto"/>
          <w:szCs w:val="22"/>
          <w:lang w:val="fi-FI"/>
        </w:rPr>
        <w:t>9</w:t>
      </w:r>
      <w:r w:rsidR="001C515E" w:rsidRPr="00651DC6">
        <w:rPr>
          <w:rStyle w:val="SubtleEmphasis"/>
          <w:rFonts w:ascii="Arial" w:hAnsi="Arial" w:cs="Arial"/>
          <w:i w:val="0"/>
          <w:iCs w:val="0"/>
          <w:color w:val="auto"/>
          <w:szCs w:val="22"/>
          <w:lang w:val="fi-FI"/>
        </w:rPr>
        <w:t>.</w:t>
      </w:r>
    </w:p>
    <w:p w14:paraId="514A5DFB" w14:textId="77777777" w:rsidR="00613DC3" w:rsidRPr="00613DC3" w:rsidRDefault="008B5D60" w:rsidP="00613DC3">
      <w:pPr>
        <w:tabs>
          <w:tab w:val="left" w:pos="5954"/>
        </w:tabs>
        <w:rPr>
          <w:rFonts w:ascii="Arial" w:hAnsi="Arial" w:cs="Arial"/>
          <w:szCs w:val="22"/>
          <w:lang w:val="fi-FI"/>
        </w:rPr>
      </w:pPr>
      <w:r w:rsidRPr="00651DC6">
        <w:rPr>
          <w:rStyle w:val="SubtleEmphasis"/>
          <w:rFonts w:ascii="Arial" w:hAnsi="Arial" w:cs="Arial"/>
          <w:i w:val="0"/>
          <w:iCs w:val="0"/>
          <w:color w:val="auto"/>
          <w:szCs w:val="22"/>
          <w:lang w:val="fi-FI"/>
        </w:rPr>
        <w:br/>
      </w:r>
      <w:r w:rsidR="008F55FB" w:rsidRPr="00651DC6">
        <w:rPr>
          <w:rStyle w:val="SubtleEmphasis"/>
          <w:rFonts w:ascii="Arial" w:hAnsi="Arial" w:cs="Arial"/>
          <w:b/>
          <w:i w:val="0"/>
          <w:iCs w:val="0"/>
          <w:color w:val="auto"/>
          <w:szCs w:val="22"/>
          <w:lang w:val="fi-FI"/>
        </w:rPr>
        <w:t>Hallituksen jäsenten palkkiot</w:t>
      </w:r>
      <w:r w:rsidR="008F55FB" w:rsidRPr="00651DC6">
        <w:rPr>
          <w:rStyle w:val="SubtleEmphasis"/>
          <w:rFonts w:ascii="Arial" w:hAnsi="Arial" w:cs="Arial"/>
          <w:b/>
          <w:i w:val="0"/>
          <w:iCs w:val="0"/>
          <w:color w:val="auto"/>
          <w:szCs w:val="22"/>
          <w:lang w:val="fi-FI"/>
        </w:rPr>
        <w:br/>
      </w:r>
      <w:r w:rsidR="008F55FB" w:rsidRPr="00651DC6">
        <w:rPr>
          <w:rStyle w:val="SubtleEmphasis"/>
          <w:rFonts w:ascii="Arial" w:hAnsi="Arial" w:cs="Arial"/>
          <w:b/>
          <w:i w:val="0"/>
          <w:iCs w:val="0"/>
          <w:color w:val="auto"/>
          <w:szCs w:val="22"/>
          <w:lang w:val="fi-FI"/>
        </w:rPr>
        <w:br/>
      </w:r>
      <w:r w:rsidR="008F55FB" w:rsidRPr="00651DC6">
        <w:rPr>
          <w:rStyle w:val="SubtleEmphasis"/>
          <w:rFonts w:ascii="Arial" w:hAnsi="Arial" w:cs="Arial"/>
          <w:i w:val="0"/>
          <w:iCs w:val="0"/>
          <w:color w:val="auto"/>
          <w:szCs w:val="22"/>
          <w:lang w:val="fi-FI"/>
        </w:rPr>
        <w:t>Yhtiökokous vahvisti</w:t>
      </w:r>
      <w:r w:rsidR="009F53DC" w:rsidRPr="00EA490B">
        <w:rPr>
          <w:rFonts w:ascii="Arial" w:hAnsi="Arial" w:cs="Arial"/>
          <w:szCs w:val="22"/>
          <w:lang w:val="fi-FI"/>
        </w:rPr>
        <w:t xml:space="preserve">, </w:t>
      </w:r>
      <w:r w:rsidR="00613DC3" w:rsidRPr="00613DC3">
        <w:rPr>
          <w:rFonts w:ascii="Arial" w:hAnsi="Arial" w:cs="Arial"/>
          <w:szCs w:val="22"/>
          <w:lang w:val="fi-FI"/>
        </w:rPr>
        <w:t>että toimikaudeksi, joka päättyy vuoden 2020 varsinaisen yhtiökokouksen päättyessä, valittaville hallituksen jäsenille maksettava vuosipalkkio pidetään ennallaan seuraavasti: hallituksen puheenjohtajan palkkio on 140 000 euroa, hallituksen varapuheenjohtajan palkkio on 100 000 euroa ja muun hallituksen jäsenen palkkio on 70 000 euroa. Mikäli hallituksen jäsenen toimikausi päättyy ennen vuoden 2020 varsinaisen yhtiökokouksen päättymistä, hän on oikeutettu todellisen toimikautensa keston mukaan määräytyvään osuuteen vuosipalkkiosta.</w:t>
      </w:r>
    </w:p>
    <w:p w14:paraId="2D045395" w14:textId="77777777" w:rsidR="00613DC3" w:rsidRPr="00613DC3" w:rsidRDefault="00613DC3" w:rsidP="00613DC3">
      <w:pPr>
        <w:tabs>
          <w:tab w:val="left" w:pos="5954"/>
        </w:tabs>
        <w:rPr>
          <w:rFonts w:ascii="Arial" w:hAnsi="Arial" w:cs="Arial"/>
          <w:szCs w:val="22"/>
          <w:lang w:val="fi-FI"/>
        </w:rPr>
      </w:pPr>
    </w:p>
    <w:p w14:paraId="1A07361A" w14:textId="63B25EAB" w:rsidR="00613DC3" w:rsidRPr="00613DC3" w:rsidRDefault="003D7C7C" w:rsidP="00613DC3">
      <w:pPr>
        <w:tabs>
          <w:tab w:val="left" w:pos="5954"/>
        </w:tabs>
        <w:rPr>
          <w:rFonts w:ascii="Arial" w:hAnsi="Arial" w:cs="Arial"/>
          <w:szCs w:val="22"/>
          <w:lang w:val="fi-FI"/>
        </w:rPr>
      </w:pPr>
      <w:r>
        <w:rPr>
          <w:rFonts w:ascii="Arial" w:hAnsi="Arial" w:cs="Arial"/>
          <w:szCs w:val="22"/>
          <w:lang w:val="fi-FI"/>
        </w:rPr>
        <w:t xml:space="preserve">Yhtiökokous päätti </w:t>
      </w:r>
      <w:r w:rsidR="00613DC3" w:rsidRPr="00613DC3">
        <w:rPr>
          <w:rFonts w:ascii="Arial" w:hAnsi="Arial" w:cs="Arial"/>
          <w:szCs w:val="22"/>
          <w:lang w:val="fi-FI"/>
        </w:rPr>
        <w:t xml:space="preserve">edelleen, että 50 prosenttia vuosipalkkiosta maksetaan julkisessa kaupankäynnissä muodostuvaan hintaan hallituksen jäsenten lukuun hankittavina Konecranesin osakkeina. Palkkiona annettavat osakkeet hankitaan yhtiön laatiman kaupankäyntiohjelman mukaisesti. </w:t>
      </w:r>
      <w:r w:rsidR="00613DC3" w:rsidRPr="00613DC3">
        <w:rPr>
          <w:rFonts w:ascii="Arial" w:hAnsi="Arial" w:cs="Arial"/>
          <w:iCs/>
          <w:szCs w:val="22"/>
          <w:lang w:val="fi-FI"/>
        </w:rPr>
        <w:t>Yhtiö maksaa palkkio-osakkeiden hankintaan tai luovutukseen liittyvät transaktiokulut sekä varainsiirtoveron.</w:t>
      </w:r>
      <w:r w:rsidR="00613DC3" w:rsidRPr="00613DC3">
        <w:rPr>
          <w:rFonts w:ascii="Arial" w:hAnsi="Arial" w:cs="Arial"/>
          <w:i/>
          <w:iCs/>
          <w:szCs w:val="22"/>
          <w:lang w:val="fi-FI"/>
        </w:rPr>
        <w:t xml:space="preserve"> </w:t>
      </w:r>
      <w:r w:rsidR="00613DC3" w:rsidRPr="00613DC3">
        <w:rPr>
          <w:rFonts w:ascii="Arial" w:hAnsi="Arial" w:cs="Arial"/>
          <w:szCs w:val="22"/>
          <w:lang w:val="fi-FI"/>
        </w:rPr>
        <w:t xml:space="preserve">Jos palkkiota ei oikeudellisista tai muista säädösperusteisista rajoituksista johtuen tai muun yhtiöön tai hallituksen jäseneen liittyvän syyn vuoksi voida maksaa osakkeina, palkkio maksetaan rahana. </w:t>
      </w:r>
    </w:p>
    <w:p w14:paraId="21B3350D" w14:textId="77777777" w:rsidR="00613DC3" w:rsidRPr="00613DC3" w:rsidRDefault="00613DC3" w:rsidP="00613DC3">
      <w:pPr>
        <w:tabs>
          <w:tab w:val="left" w:pos="5954"/>
        </w:tabs>
        <w:rPr>
          <w:rFonts w:ascii="Arial" w:hAnsi="Arial" w:cs="Arial"/>
          <w:szCs w:val="22"/>
          <w:lang w:val="fi-FI"/>
        </w:rPr>
      </w:pPr>
    </w:p>
    <w:p w14:paraId="7306F0A3" w14:textId="77777777" w:rsidR="00613DC3" w:rsidRPr="00613DC3" w:rsidRDefault="00613DC3" w:rsidP="00613DC3">
      <w:pPr>
        <w:tabs>
          <w:tab w:val="left" w:pos="5954"/>
        </w:tabs>
        <w:rPr>
          <w:rFonts w:ascii="Arial" w:hAnsi="Arial" w:cs="Arial"/>
          <w:szCs w:val="22"/>
          <w:lang w:val="fi-FI"/>
        </w:rPr>
      </w:pPr>
      <w:r w:rsidRPr="00613DC3">
        <w:rPr>
          <w:rFonts w:ascii="Arial" w:hAnsi="Arial" w:cs="Arial"/>
          <w:szCs w:val="22"/>
          <w:lang w:val="fi-FI"/>
        </w:rPr>
        <w:t>Hallituksen puheenjohtaja, hallituksen varapuheenjohtaja sekä muut hallituksen jäsenet ovat lisäksi oikeutettuja 1 500 euron suuruiseen korvaukseen jokaisesta hallituksen valiokunnan kokouksesta, johon he osallistuvat. Tarkastusvaliokunnan puheenjohtaja on kuitenkin oikeutettu 3 000 euron suuruiseen korvaukseen jokaisesta tarkastus</w:t>
      </w:r>
      <w:r w:rsidRPr="00613DC3">
        <w:rPr>
          <w:rFonts w:ascii="Arial" w:hAnsi="Arial" w:cs="Arial"/>
          <w:szCs w:val="22"/>
          <w:lang w:val="fi-FI"/>
        </w:rPr>
        <w:softHyphen/>
        <w:t>valiokunnan kokouksesta, johon hän osallistuu. Palkkiota ei makseta yhtiöön työsuhteessa olevalle hallituksen jäsenelle. Matkakustannukset korvataan kuittia vastaan.</w:t>
      </w:r>
    </w:p>
    <w:p w14:paraId="729D686C" w14:textId="2B0D3758" w:rsidR="001D48B2" w:rsidRDefault="008B5D60" w:rsidP="001F1032">
      <w:pPr>
        <w:tabs>
          <w:tab w:val="left" w:pos="5954"/>
        </w:tabs>
        <w:spacing w:line="240" w:lineRule="auto"/>
        <w:rPr>
          <w:rStyle w:val="SubtleEmphasis"/>
          <w:rFonts w:ascii="Arial" w:hAnsi="Arial" w:cs="Arial"/>
          <w:b/>
          <w:i w:val="0"/>
          <w:iCs w:val="0"/>
          <w:color w:val="auto"/>
          <w:szCs w:val="22"/>
          <w:lang w:val="fi-FI"/>
        </w:rPr>
      </w:pPr>
      <w:r w:rsidRPr="00651DC6">
        <w:rPr>
          <w:rStyle w:val="SubtleEmphasis"/>
          <w:rFonts w:ascii="Arial" w:hAnsi="Arial" w:cs="Arial"/>
          <w:i w:val="0"/>
          <w:iCs w:val="0"/>
          <w:color w:val="auto"/>
          <w:szCs w:val="22"/>
          <w:lang w:val="fi-FI"/>
        </w:rPr>
        <w:br/>
      </w:r>
      <w:r w:rsidR="00F951B5" w:rsidRPr="00651DC6">
        <w:rPr>
          <w:rStyle w:val="SubtleEmphasis"/>
          <w:rFonts w:ascii="Arial" w:hAnsi="Arial" w:cs="Arial"/>
          <w:b/>
          <w:i w:val="0"/>
          <w:iCs w:val="0"/>
          <w:color w:val="auto"/>
          <w:szCs w:val="22"/>
          <w:lang w:val="fi-FI"/>
        </w:rPr>
        <w:t>Hallituksen kokoonpano</w:t>
      </w:r>
      <w:r w:rsidR="00F951B5" w:rsidRPr="00651DC6">
        <w:rPr>
          <w:rStyle w:val="SubtleEmphasis"/>
          <w:rFonts w:ascii="Arial" w:hAnsi="Arial" w:cs="Arial"/>
          <w:b/>
          <w:i w:val="0"/>
          <w:iCs w:val="0"/>
          <w:color w:val="auto"/>
          <w:szCs w:val="22"/>
          <w:lang w:val="fi-FI"/>
        </w:rPr>
        <w:br/>
      </w:r>
      <w:r w:rsidR="00F951B5" w:rsidRPr="00651DC6">
        <w:rPr>
          <w:rStyle w:val="SubtleEmphasis"/>
          <w:rFonts w:ascii="Arial" w:hAnsi="Arial" w:cs="Arial"/>
          <w:b/>
          <w:i w:val="0"/>
          <w:iCs w:val="0"/>
          <w:color w:val="auto"/>
          <w:szCs w:val="22"/>
          <w:lang w:val="fi-FI"/>
        </w:rPr>
        <w:br/>
      </w:r>
      <w:r w:rsidR="00F951B5" w:rsidRPr="000E6CF7">
        <w:rPr>
          <w:rStyle w:val="SubtleEmphasis"/>
          <w:rFonts w:ascii="Arial" w:hAnsi="Arial" w:cs="Arial"/>
          <w:i w:val="0"/>
          <w:iCs w:val="0"/>
          <w:color w:val="auto"/>
          <w:szCs w:val="22"/>
          <w:lang w:val="fi-FI"/>
        </w:rPr>
        <w:t xml:space="preserve">Yhtiökokous hyväksyi nimitysvaliokunnan esityksen ja vahvisti hallituksen jäsenten lukumääräksi </w:t>
      </w:r>
      <w:r w:rsidR="00651DC6" w:rsidRPr="000E6CF7">
        <w:rPr>
          <w:rStyle w:val="SubtleEmphasis"/>
          <w:rFonts w:ascii="Arial" w:hAnsi="Arial" w:cs="Arial"/>
          <w:i w:val="0"/>
          <w:iCs w:val="0"/>
          <w:color w:val="auto"/>
          <w:szCs w:val="22"/>
          <w:lang w:val="fi-FI"/>
        </w:rPr>
        <w:t>kahdeksan</w:t>
      </w:r>
      <w:r w:rsidR="00F951B5" w:rsidRPr="000E6CF7">
        <w:rPr>
          <w:rStyle w:val="SubtleEmphasis"/>
          <w:rFonts w:ascii="Arial" w:hAnsi="Arial" w:cs="Arial"/>
          <w:i w:val="0"/>
          <w:iCs w:val="0"/>
          <w:color w:val="auto"/>
          <w:szCs w:val="22"/>
          <w:lang w:val="fi-FI"/>
        </w:rPr>
        <w:t xml:space="preserve"> (</w:t>
      </w:r>
      <w:r w:rsidR="00651DC6" w:rsidRPr="000E6CF7">
        <w:rPr>
          <w:rStyle w:val="SubtleEmphasis"/>
          <w:rFonts w:ascii="Arial" w:hAnsi="Arial" w:cs="Arial"/>
          <w:i w:val="0"/>
          <w:iCs w:val="0"/>
          <w:color w:val="auto"/>
          <w:szCs w:val="22"/>
          <w:lang w:val="fi-FI"/>
        </w:rPr>
        <w:t>8</w:t>
      </w:r>
      <w:r w:rsidR="00F951B5" w:rsidRPr="000E6CF7">
        <w:rPr>
          <w:rStyle w:val="SubtleEmphasis"/>
          <w:rFonts w:ascii="Arial" w:hAnsi="Arial" w:cs="Arial"/>
          <w:i w:val="0"/>
          <w:iCs w:val="0"/>
          <w:color w:val="auto"/>
          <w:szCs w:val="22"/>
          <w:lang w:val="fi-FI"/>
        </w:rPr>
        <w:t>).</w:t>
      </w:r>
      <w:r w:rsidR="00651DC6" w:rsidRPr="000E6CF7">
        <w:rPr>
          <w:rStyle w:val="SubtleEmphasis"/>
          <w:rFonts w:ascii="Arial" w:hAnsi="Arial" w:cs="Arial"/>
          <w:i w:val="0"/>
          <w:iCs w:val="0"/>
          <w:color w:val="auto"/>
          <w:szCs w:val="22"/>
          <w:lang w:val="fi-FI"/>
        </w:rPr>
        <w:t xml:space="preserve"> </w:t>
      </w:r>
      <w:r w:rsidR="00A77A88">
        <w:rPr>
          <w:rStyle w:val="SubtleEmphasis"/>
          <w:rFonts w:ascii="Arial" w:hAnsi="Arial" w:cs="Arial"/>
          <w:i w:val="0"/>
          <w:iCs w:val="0"/>
          <w:color w:val="auto"/>
          <w:szCs w:val="22"/>
          <w:lang w:val="fi-FI"/>
        </w:rPr>
        <w:t>Y</w:t>
      </w:r>
      <w:r w:rsidR="00B27AB5" w:rsidRPr="000E6CF7">
        <w:rPr>
          <w:rStyle w:val="SubtleEmphasis"/>
          <w:rFonts w:ascii="Arial" w:hAnsi="Arial" w:cs="Arial"/>
          <w:i w:val="0"/>
          <w:iCs w:val="0"/>
          <w:color w:val="auto"/>
          <w:szCs w:val="22"/>
          <w:lang w:val="fi-FI"/>
        </w:rPr>
        <w:t xml:space="preserve">htiökokous valitsi </w:t>
      </w:r>
      <w:r w:rsidR="0032578F">
        <w:rPr>
          <w:rStyle w:val="SubtleEmphasis"/>
          <w:rFonts w:ascii="Arial" w:hAnsi="Arial" w:cs="Arial"/>
          <w:i w:val="0"/>
          <w:iCs w:val="0"/>
          <w:color w:val="auto"/>
          <w:szCs w:val="22"/>
          <w:lang w:val="fi-FI"/>
        </w:rPr>
        <w:t>uudelleen</w:t>
      </w:r>
      <w:r w:rsidR="0032578F" w:rsidRPr="000E6CF7">
        <w:rPr>
          <w:rStyle w:val="SubtleEmphasis"/>
          <w:rFonts w:ascii="Arial" w:hAnsi="Arial" w:cs="Arial"/>
          <w:i w:val="0"/>
          <w:iCs w:val="0"/>
          <w:color w:val="auto"/>
          <w:szCs w:val="22"/>
          <w:lang w:val="fi-FI"/>
        </w:rPr>
        <w:t xml:space="preserve"> </w:t>
      </w:r>
      <w:r w:rsidR="00F951B5" w:rsidRPr="000E6CF7">
        <w:rPr>
          <w:rStyle w:val="SubtleEmphasis"/>
          <w:rFonts w:ascii="Arial" w:hAnsi="Arial" w:cs="Arial"/>
          <w:i w:val="0"/>
          <w:iCs w:val="0"/>
          <w:color w:val="auto"/>
          <w:szCs w:val="22"/>
          <w:lang w:val="fi-FI"/>
        </w:rPr>
        <w:t xml:space="preserve">hallituksen </w:t>
      </w:r>
      <w:r w:rsidR="0032578F">
        <w:rPr>
          <w:rStyle w:val="SubtleEmphasis"/>
          <w:rFonts w:ascii="Arial" w:hAnsi="Arial" w:cs="Arial"/>
          <w:i w:val="0"/>
          <w:iCs w:val="0"/>
          <w:color w:val="auto"/>
          <w:szCs w:val="22"/>
          <w:lang w:val="fi-FI"/>
        </w:rPr>
        <w:t xml:space="preserve">aikaisemmat </w:t>
      </w:r>
      <w:r w:rsidR="0032578F" w:rsidRPr="000E6CF7">
        <w:rPr>
          <w:rStyle w:val="SubtleEmphasis"/>
          <w:rFonts w:ascii="Arial" w:hAnsi="Arial" w:cs="Arial"/>
          <w:i w:val="0"/>
          <w:iCs w:val="0"/>
          <w:color w:val="auto"/>
          <w:szCs w:val="22"/>
          <w:lang w:val="fi-FI"/>
        </w:rPr>
        <w:t>jäsen</w:t>
      </w:r>
      <w:r w:rsidR="0032578F">
        <w:rPr>
          <w:rStyle w:val="SubtleEmphasis"/>
          <w:rFonts w:ascii="Arial" w:hAnsi="Arial" w:cs="Arial"/>
          <w:i w:val="0"/>
          <w:iCs w:val="0"/>
          <w:color w:val="auto"/>
          <w:szCs w:val="22"/>
          <w:lang w:val="fi-FI"/>
        </w:rPr>
        <w:t>et</w:t>
      </w:r>
      <w:r w:rsidR="0032578F" w:rsidRPr="000E6CF7">
        <w:rPr>
          <w:rStyle w:val="SubtleEmphasis"/>
          <w:rFonts w:ascii="Arial" w:hAnsi="Arial" w:cs="Arial"/>
          <w:i w:val="0"/>
          <w:iCs w:val="0"/>
          <w:color w:val="auto"/>
          <w:szCs w:val="22"/>
          <w:lang w:val="fi-FI"/>
        </w:rPr>
        <w:t xml:space="preserve"> </w:t>
      </w:r>
      <w:r w:rsidR="00651DC6" w:rsidRPr="000E6CF7">
        <w:rPr>
          <w:rFonts w:ascii="Arial" w:hAnsi="Arial" w:cs="Arial"/>
          <w:lang w:val="fi-FI"/>
        </w:rPr>
        <w:t>Ole Johansson</w:t>
      </w:r>
      <w:r w:rsidR="000E6CF7">
        <w:rPr>
          <w:rFonts w:ascii="Arial" w:hAnsi="Arial" w:cs="Arial"/>
          <w:lang w:val="fi-FI"/>
        </w:rPr>
        <w:t>in</w:t>
      </w:r>
      <w:r w:rsidR="00651DC6" w:rsidRPr="000E6CF7">
        <w:rPr>
          <w:rFonts w:ascii="Arial" w:hAnsi="Arial" w:cs="Arial"/>
          <w:lang w:val="fi-FI"/>
        </w:rPr>
        <w:t>, Janina Kugel</w:t>
      </w:r>
      <w:r w:rsidR="000E6CF7">
        <w:rPr>
          <w:rFonts w:ascii="Arial" w:hAnsi="Arial" w:cs="Arial"/>
          <w:lang w:val="fi-FI"/>
        </w:rPr>
        <w:t>in</w:t>
      </w:r>
      <w:r w:rsidR="00651DC6" w:rsidRPr="000E6CF7">
        <w:rPr>
          <w:rFonts w:ascii="Arial" w:hAnsi="Arial" w:cs="Arial"/>
          <w:lang w:val="fi-FI"/>
        </w:rPr>
        <w:t>, Bertel Langenskiöld</w:t>
      </w:r>
      <w:r w:rsidR="000E6CF7">
        <w:rPr>
          <w:rFonts w:ascii="Arial" w:hAnsi="Arial" w:cs="Arial"/>
          <w:lang w:val="fi-FI"/>
        </w:rPr>
        <w:t>in</w:t>
      </w:r>
      <w:r w:rsidR="00651DC6" w:rsidRPr="000E6CF7">
        <w:rPr>
          <w:rFonts w:ascii="Arial" w:hAnsi="Arial" w:cs="Arial"/>
          <w:lang w:val="fi-FI"/>
        </w:rPr>
        <w:t>, Ulf Liljedahl</w:t>
      </w:r>
      <w:r w:rsidR="000E6CF7">
        <w:rPr>
          <w:rFonts w:ascii="Arial" w:hAnsi="Arial" w:cs="Arial"/>
          <w:lang w:val="fi-FI"/>
        </w:rPr>
        <w:t>in</w:t>
      </w:r>
      <w:r w:rsidR="00613DC3">
        <w:rPr>
          <w:rFonts w:ascii="Arial" w:hAnsi="Arial" w:cs="Arial"/>
          <w:lang w:val="fi-FI"/>
        </w:rPr>
        <w:t>,</w:t>
      </w:r>
      <w:r w:rsidR="001D48B2">
        <w:rPr>
          <w:rFonts w:ascii="Arial" w:hAnsi="Arial" w:cs="Arial"/>
          <w:lang w:val="fi-FI"/>
        </w:rPr>
        <w:t xml:space="preserve"> </w:t>
      </w:r>
      <w:r w:rsidR="00613DC3" w:rsidRPr="001D48B2">
        <w:rPr>
          <w:rFonts w:ascii="Arial" w:hAnsi="Arial" w:cs="Arial"/>
          <w:szCs w:val="22"/>
          <w:lang w:val="fi-FI"/>
        </w:rPr>
        <w:t>Per Vegard Nerseth</w:t>
      </w:r>
      <w:r w:rsidR="00613DC3">
        <w:rPr>
          <w:rFonts w:ascii="Arial" w:hAnsi="Arial" w:cs="Arial"/>
          <w:szCs w:val="22"/>
          <w:lang w:val="fi-FI"/>
        </w:rPr>
        <w:t xml:space="preserve">in, </w:t>
      </w:r>
      <w:r w:rsidR="00613DC3" w:rsidRPr="001D48B2">
        <w:rPr>
          <w:rFonts w:ascii="Arial" w:hAnsi="Arial" w:cs="Arial"/>
          <w:szCs w:val="22"/>
          <w:lang w:val="fi-FI"/>
        </w:rPr>
        <w:t>Anders Nielsen</w:t>
      </w:r>
      <w:r w:rsidR="00613DC3">
        <w:rPr>
          <w:rFonts w:ascii="Arial" w:hAnsi="Arial" w:cs="Arial"/>
          <w:szCs w:val="22"/>
          <w:lang w:val="fi-FI"/>
        </w:rPr>
        <w:t>in, Päivi Rekos</w:t>
      </w:r>
      <w:r w:rsidR="00613DC3" w:rsidRPr="001D48B2">
        <w:rPr>
          <w:rFonts w:ascii="Arial" w:hAnsi="Arial" w:cs="Arial"/>
          <w:szCs w:val="22"/>
          <w:lang w:val="fi-FI"/>
        </w:rPr>
        <w:t xml:space="preserve">en </w:t>
      </w:r>
      <w:r w:rsidR="00651DC6" w:rsidRPr="000E6CF7">
        <w:rPr>
          <w:rFonts w:ascii="Arial" w:hAnsi="Arial" w:cs="Arial"/>
          <w:lang w:val="fi-FI"/>
        </w:rPr>
        <w:t>ja Christoph Vitzthum</w:t>
      </w:r>
      <w:r w:rsidR="000E6CF7">
        <w:rPr>
          <w:rFonts w:ascii="Arial" w:hAnsi="Arial" w:cs="Arial"/>
          <w:lang w:val="fi-FI"/>
        </w:rPr>
        <w:t>in</w:t>
      </w:r>
      <w:r w:rsidR="00FD4335" w:rsidRPr="00FD4335">
        <w:rPr>
          <w:rStyle w:val="SubtleEmphasis"/>
          <w:rFonts w:ascii="Arial" w:hAnsi="Arial" w:cs="Arial"/>
          <w:i w:val="0"/>
          <w:iCs w:val="0"/>
          <w:color w:val="auto"/>
          <w:szCs w:val="22"/>
          <w:lang w:val="fi-FI"/>
        </w:rPr>
        <w:t xml:space="preserve"> </w:t>
      </w:r>
      <w:r w:rsidR="00FD4335" w:rsidRPr="000E6CF7">
        <w:rPr>
          <w:rStyle w:val="SubtleEmphasis"/>
          <w:rFonts w:ascii="Arial" w:hAnsi="Arial" w:cs="Arial"/>
          <w:i w:val="0"/>
          <w:iCs w:val="0"/>
          <w:color w:val="auto"/>
          <w:szCs w:val="22"/>
          <w:lang w:val="fi-FI"/>
        </w:rPr>
        <w:t xml:space="preserve">toimikaudeksi, joka päättyy </w:t>
      </w:r>
      <w:r w:rsidR="00613DC3">
        <w:rPr>
          <w:rStyle w:val="SubtleEmphasis"/>
          <w:rFonts w:ascii="Arial" w:hAnsi="Arial" w:cs="Arial"/>
          <w:i w:val="0"/>
          <w:iCs w:val="0"/>
          <w:color w:val="auto"/>
          <w:szCs w:val="22"/>
          <w:lang w:val="fi-FI"/>
        </w:rPr>
        <w:t>vuoden 2020</w:t>
      </w:r>
      <w:r w:rsidR="00FD4335" w:rsidRPr="000E6CF7">
        <w:rPr>
          <w:rStyle w:val="SubtleEmphasis"/>
          <w:rFonts w:ascii="Arial" w:hAnsi="Arial" w:cs="Arial"/>
          <w:i w:val="0"/>
          <w:iCs w:val="0"/>
          <w:color w:val="auto"/>
          <w:szCs w:val="22"/>
          <w:lang w:val="fi-FI"/>
        </w:rPr>
        <w:t xml:space="preserve"> varsinaisen yhtiökokouksen päättyessä</w:t>
      </w:r>
      <w:r w:rsidR="00FD4335">
        <w:rPr>
          <w:rStyle w:val="SubtleEmphasis"/>
          <w:rFonts w:ascii="Arial" w:hAnsi="Arial" w:cs="Arial"/>
          <w:i w:val="0"/>
          <w:iCs w:val="0"/>
          <w:color w:val="auto"/>
          <w:szCs w:val="22"/>
          <w:lang w:val="fi-FI"/>
        </w:rPr>
        <w:t>.</w:t>
      </w:r>
      <w:r w:rsidR="00651DC6">
        <w:rPr>
          <w:rStyle w:val="SubtleEmphasis"/>
          <w:rFonts w:ascii="Arial" w:hAnsi="Arial" w:cs="Arial"/>
          <w:i w:val="0"/>
          <w:iCs w:val="0"/>
          <w:color w:val="auto"/>
          <w:szCs w:val="22"/>
          <w:lang w:val="fi-FI"/>
        </w:rPr>
        <w:br/>
      </w:r>
      <w:r w:rsidRPr="00651DC6">
        <w:rPr>
          <w:rStyle w:val="SubtleEmphasis"/>
          <w:rFonts w:ascii="Arial" w:hAnsi="Arial" w:cs="Arial"/>
          <w:b/>
          <w:i w:val="0"/>
          <w:iCs w:val="0"/>
          <w:color w:val="auto"/>
          <w:szCs w:val="22"/>
          <w:lang w:val="fi-FI"/>
        </w:rPr>
        <w:br/>
      </w:r>
      <w:r w:rsidR="007B0067" w:rsidRPr="00651DC6">
        <w:rPr>
          <w:rStyle w:val="SubtleEmphasis"/>
          <w:rFonts w:ascii="Arial" w:hAnsi="Arial" w:cs="Arial"/>
          <w:b/>
          <w:i w:val="0"/>
          <w:iCs w:val="0"/>
          <w:color w:val="auto"/>
          <w:szCs w:val="22"/>
          <w:lang w:val="fi-FI"/>
        </w:rPr>
        <w:t xml:space="preserve">Tilintarkastajan </w:t>
      </w:r>
      <w:r w:rsidR="00DC7DCC" w:rsidRPr="00651DC6">
        <w:rPr>
          <w:rStyle w:val="SubtleEmphasis"/>
          <w:rFonts w:ascii="Arial" w:hAnsi="Arial" w:cs="Arial"/>
          <w:b/>
          <w:i w:val="0"/>
          <w:iCs w:val="0"/>
          <w:color w:val="auto"/>
          <w:szCs w:val="22"/>
          <w:lang w:val="fi-FI"/>
        </w:rPr>
        <w:t>valinta ja palkkiosta päättämi</w:t>
      </w:r>
      <w:r w:rsidR="00C6226E" w:rsidRPr="00651DC6">
        <w:rPr>
          <w:rStyle w:val="SubtleEmphasis"/>
          <w:rFonts w:ascii="Arial" w:hAnsi="Arial" w:cs="Arial"/>
          <w:b/>
          <w:i w:val="0"/>
          <w:iCs w:val="0"/>
          <w:color w:val="auto"/>
          <w:szCs w:val="22"/>
          <w:lang w:val="fi-FI"/>
        </w:rPr>
        <w:t>nen</w:t>
      </w:r>
      <w:r w:rsidR="00DB4028">
        <w:rPr>
          <w:rStyle w:val="SubtleEmphasis"/>
          <w:rFonts w:ascii="Arial" w:hAnsi="Arial" w:cs="Arial"/>
          <w:b/>
          <w:i w:val="0"/>
          <w:iCs w:val="0"/>
          <w:color w:val="auto"/>
          <w:szCs w:val="22"/>
          <w:lang w:val="fi-FI"/>
        </w:rPr>
        <w:br/>
      </w:r>
      <w:r w:rsidRPr="00651DC6">
        <w:rPr>
          <w:rStyle w:val="SubtleEmphasis"/>
          <w:rFonts w:ascii="Arial" w:hAnsi="Arial" w:cs="Arial"/>
          <w:b/>
          <w:i w:val="0"/>
          <w:iCs w:val="0"/>
          <w:color w:val="auto"/>
          <w:szCs w:val="22"/>
          <w:lang w:val="fi-FI"/>
        </w:rPr>
        <w:br/>
      </w:r>
      <w:r w:rsidR="00C6226E" w:rsidRPr="00651DC6">
        <w:rPr>
          <w:rStyle w:val="SubtleEmphasis"/>
          <w:rFonts w:ascii="Arial" w:hAnsi="Arial" w:cs="Arial"/>
          <w:i w:val="0"/>
          <w:iCs w:val="0"/>
          <w:color w:val="auto"/>
          <w:szCs w:val="22"/>
          <w:lang w:val="fi-FI"/>
        </w:rPr>
        <w:t xml:space="preserve">Yhtiökokous </w:t>
      </w:r>
      <w:r w:rsidR="005E6CE0">
        <w:rPr>
          <w:rStyle w:val="SubtleEmphasis"/>
          <w:rFonts w:ascii="Arial" w:hAnsi="Arial" w:cs="Arial"/>
          <w:i w:val="0"/>
          <w:iCs w:val="0"/>
          <w:color w:val="auto"/>
          <w:szCs w:val="22"/>
          <w:lang w:val="fi-FI"/>
        </w:rPr>
        <w:t>päätti</w:t>
      </w:r>
      <w:r w:rsidR="00C6226E" w:rsidRPr="00651DC6">
        <w:rPr>
          <w:rStyle w:val="SubtleEmphasis"/>
          <w:rFonts w:ascii="Arial" w:hAnsi="Arial" w:cs="Arial"/>
          <w:i w:val="0"/>
          <w:iCs w:val="0"/>
          <w:color w:val="auto"/>
          <w:szCs w:val="22"/>
          <w:lang w:val="fi-FI"/>
        </w:rPr>
        <w:t xml:space="preserve">, että </w:t>
      </w:r>
      <w:r w:rsidR="000B5DA3" w:rsidRPr="00EA490B">
        <w:rPr>
          <w:rFonts w:ascii="Arial" w:hAnsi="Arial" w:cs="Arial"/>
          <w:szCs w:val="22"/>
          <w:lang w:val="fi-FI"/>
        </w:rPr>
        <w:t>tilint</w:t>
      </w:r>
      <w:r w:rsidR="00613DC3">
        <w:rPr>
          <w:rFonts w:ascii="Arial" w:hAnsi="Arial" w:cs="Arial"/>
          <w:szCs w:val="22"/>
          <w:lang w:val="fi-FI"/>
        </w:rPr>
        <w:t>arkastajaksi valitaan 31.12.2019</w:t>
      </w:r>
      <w:r w:rsidR="000B5DA3" w:rsidRPr="00EA490B">
        <w:rPr>
          <w:rFonts w:ascii="Arial" w:hAnsi="Arial" w:cs="Arial"/>
          <w:szCs w:val="22"/>
          <w:lang w:val="fi-FI"/>
        </w:rPr>
        <w:t xml:space="preserve"> päättyvälle vuodelle uudellee</w:t>
      </w:r>
      <w:r w:rsidR="000B5DA3" w:rsidRPr="000B5DA3">
        <w:rPr>
          <w:rFonts w:ascii="Arial" w:hAnsi="Arial" w:cs="Arial"/>
          <w:szCs w:val="22"/>
          <w:lang w:val="fi-FI"/>
        </w:rPr>
        <w:t>n</w:t>
      </w:r>
      <w:r w:rsidR="00C6226E" w:rsidRPr="00651DC6">
        <w:rPr>
          <w:rStyle w:val="SubtleEmphasis"/>
          <w:rFonts w:ascii="Arial" w:hAnsi="Arial" w:cs="Arial"/>
          <w:i w:val="0"/>
          <w:iCs w:val="0"/>
          <w:color w:val="auto"/>
          <w:szCs w:val="22"/>
          <w:lang w:val="fi-FI"/>
        </w:rPr>
        <w:t xml:space="preserve"> </w:t>
      </w:r>
      <w:r w:rsidR="00C6226E" w:rsidRPr="00651DC6">
        <w:rPr>
          <w:rStyle w:val="SubtleEmphasis"/>
          <w:rFonts w:ascii="Arial" w:hAnsi="Arial" w:cs="Arial"/>
          <w:i w:val="0"/>
          <w:iCs w:val="0"/>
          <w:color w:val="auto"/>
          <w:szCs w:val="22"/>
          <w:lang w:val="fi-FI"/>
        </w:rPr>
        <w:lastRenderedPageBreak/>
        <w:t>Ernst &amp; Young Oy, joka on ilmoittanut, että päävastuullisena tilintarkastajana tulee toimimaan KHT Kristina Sandin. T</w:t>
      </w:r>
      <w:r w:rsidR="007B0067" w:rsidRPr="00651DC6">
        <w:rPr>
          <w:rStyle w:val="SubtleEmphasis"/>
          <w:rFonts w:ascii="Arial" w:hAnsi="Arial" w:cs="Arial"/>
          <w:i w:val="0"/>
          <w:iCs w:val="0"/>
          <w:color w:val="auto"/>
          <w:szCs w:val="22"/>
          <w:lang w:val="fi-FI"/>
        </w:rPr>
        <w:t xml:space="preserve">ilintarkastajalle maksetaan palkkio </w:t>
      </w:r>
      <w:r w:rsidR="002E06CF" w:rsidRPr="00651DC6">
        <w:rPr>
          <w:rStyle w:val="SubtleEmphasis"/>
          <w:rFonts w:ascii="Arial" w:hAnsi="Arial" w:cs="Arial"/>
          <w:i w:val="0"/>
          <w:iCs w:val="0"/>
          <w:color w:val="auto"/>
          <w:szCs w:val="22"/>
          <w:lang w:val="fi-FI"/>
        </w:rPr>
        <w:t xml:space="preserve">yhtiön hyväksymän </w:t>
      </w:r>
      <w:r w:rsidR="007B0067" w:rsidRPr="00651DC6">
        <w:rPr>
          <w:rStyle w:val="SubtleEmphasis"/>
          <w:rFonts w:ascii="Arial" w:hAnsi="Arial" w:cs="Arial"/>
          <w:i w:val="0"/>
          <w:iCs w:val="0"/>
          <w:color w:val="auto"/>
          <w:szCs w:val="22"/>
          <w:lang w:val="fi-FI"/>
        </w:rPr>
        <w:t>laskun mukaan.</w:t>
      </w:r>
      <w:r w:rsidRPr="00651DC6">
        <w:rPr>
          <w:rStyle w:val="SubtleEmphasis"/>
          <w:rFonts w:ascii="Arial" w:hAnsi="Arial" w:cs="Arial"/>
          <w:i w:val="0"/>
          <w:iCs w:val="0"/>
          <w:color w:val="auto"/>
          <w:szCs w:val="22"/>
          <w:lang w:val="fi-FI"/>
        </w:rPr>
        <w:br/>
      </w:r>
      <w:r w:rsidRPr="00651DC6">
        <w:rPr>
          <w:rStyle w:val="SubtleEmphasis"/>
          <w:rFonts w:ascii="Arial" w:hAnsi="Arial" w:cs="Arial"/>
          <w:i w:val="0"/>
          <w:iCs w:val="0"/>
          <w:color w:val="auto"/>
          <w:szCs w:val="22"/>
          <w:lang w:val="fi-FI"/>
        </w:rPr>
        <w:br/>
      </w:r>
      <w:r w:rsidR="00613DC3">
        <w:rPr>
          <w:rStyle w:val="SubtleEmphasis"/>
          <w:rFonts w:ascii="Arial" w:hAnsi="Arial" w:cs="Arial"/>
          <w:b/>
          <w:i w:val="0"/>
          <w:iCs w:val="0"/>
          <w:color w:val="auto"/>
          <w:szCs w:val="22"/>
          <w:lang w:val="fi-FI"/>
        </w:rPr>
        <w:t>Osakkeenomistajien nimitystoimikunnan perustaminen</w:t>
      </w:r>
    </w:p>
    <w:p w14:paraId="40E5BA05" w14:textId="18AD7FDE" w:rsidR="001D48B2" w:rsidRDefault="001D48B2" w:rsidP="001F1032">
      <w:pPr>
        <w:tabs>
          <w:tab w:val="left" w:pos="5954"/>
        </w:tabs>
        <w:spacing w:line="240" w:lineRule="auto"/>
        <w:rPr>
          <w:rStyle w:val="SubtleEmphasis"/>
          <w:rFonts w:ascii="Arial" w:hAnsi="Arial" w:cs="Arial"/>
          <w:b/>
          <w:i w:val="0"/>
          <w:iCs w:val="0"/>
          <w:color w:val="auto"/>
          <w:szCs w:val="22"/>
          <w:lang w:val="fi-FI"/>
        </w:rPr>
      </w:pPr>
    </w:p>
    <w:p w14:paraId="60E285E8" w14:textId="353EDDB6" w:rsidR="00613DC3" w:rsidRPr="00613DC3" w:rsidRDefault="00B02235" w:rsidP="00613DC3">
      <w:pPr>
        <w:tabs>
          <w:tab w:val="left" w:pos="5954"/>
        </w:tabs>
        <w:spacing w:line="240" w:lineRule="auto"/>
        <w:rPr>
          <w:rFonts w:ascii="Arial" w:hAnsi="Arial" w:cs="Arial"/>
          <w:iCs/>
          <w:szCs w:val="22"/>
          <w:lang w:val="fi-FI"/>
        </w:rPr>
      </w:pPr>
      <w:r w:rsidRPr="00B02235">
        <w:rPr>
          <w:rStyle w:val="SubtleEmphasis"/>
          <w:rFonts w:ascii="Arial" w:hAnsi="Arial" w:cs="Arial"/>
          <w:i w:val="0"/>
          <w:iCs w:val="0"/>
          <w:color w:val="auto"/>
          <w:szCs w:val="22"/>
          <w:lang w:val="fi-FI"/>
        </w:rPr>
        <w:t xml:space="preserve">Yhtiökokous </w:t>
      </w:r>
      <w:r w:rsidR="005E6CE0">
        <w:rPr>
          <w:rStyle w:val="SubtleEmphasis"/>
          <w:rFonts w:ascii="Arial" w:hAnsi="Arial" w:cs="Arial"/>
          <w:i w:val="0"/>
          <w:iCs w:val="0"/>
          <w:color w:val="auto"/>
          <w:szCs w:val="22"/>
          <w:lang w:val="fi-FI"/>
        </w:rPr>
        <w:t>päätti perustaa</w:t>
      </w:r>
      <w:r w:rsidR="00613DC3" w:rsidRPr="00613DC3">
        <w:rPr>
          <w:rFonts w:ascii="Arial" w:hAnsi="Arial" w:cs="Arial"/>
          <w:iCs/>
          <w:szCs w:val="22"/>
          <w:lang w:val="fi-FI"/>
        </w:rPr>
        <w:t xml:space="preserve"> osakkeenomistajien nimitystoimikunnan valmistelemaan varsinaiselle yhtiökokoukselle sekä tarvittaessa ylimääräiselle yhtiökokoukselle hallituksen jäsenten valintaa ja palkitsemista koskevia ehdotuksia, sekä tunnistamaan potentiaalisia ehdokkaita hallituksen jäseniksi. Lisäksi </w:t>
      </w:r>
      <w:r w:rsidR="00613DC3">
        <w:rPr>
          <w:rFonts w:ascii="Arial" w:hAnsi="Arial" w:cs="Arial"/>
          <w:iCs/>
          <w:szCs w:val="22"/>
          <w:lang w:val="fi-FI"/>
        </w:rPr>
        <w:t>y</w:t>
      </w:r>
      <w:r w:rsidR="00613DC3" w:rsidRPr="00B02235">
        <w:rPr>
          <w:rStyle w:val="SubtleEmphasis"/>
          <w:rFonts w:ascii="Arial" w:hAnsi="Arial" w:cs="Arial"/>
          <w:i w:val="0"/>
          <w:iCs w:val="0"/>
          <w:color w:val="auto"/>
          <w:szCs w:val="22"/>
          <w:lang w:val="fi-FI"/>
        </w:rPr>
        <w:t xml:space="preserve">htiökokous </w:t>
      </w:r>
      <w:r w:rsidR="00303F73">
        <w:rPr>
          <w:rStyle w:val="SubtleEmphasis"/>
          <w:rFonts w:ascii="Arial" w:hAnsi="Arial" w:cs="Arial"/>
          <w:i w:val="0"/>
          <w:iCs w:val="0"/>
          <w:color w:val="auto"/>
          <w:szCs w:val="22"/>
          <w:lang w:val="fi-FI"/>
        </w:rPr>
        <w:t>vahvisti</w:t>
      </w:r>
      <w:r w:rsidR="00613DC3">
        <w:rPr>
          <w:rStyle w:val="SubtleEmphasis"/>
          <w:rFonts w:ascii="Arial" w:hAnsi="Arial" w:cs="Arial"/>
          <w:i w:val="0"/>
          <w:iCs w:val="0"/>
          <w:color w:val="auto"/>
          <w:szCs w:val="22"/>
          <w:lang w:val="fi-FI"/>
        </w:rPr>
        <w:t xml:space="preserve"> </w:t>
      </w:r>
      <w:r w:rsidR="00613DC3" w:rsidRPr="00613DC3">
        <w:rPr>
          <w:rFonts w:ascii="Arial" w:hAnsi="Arial" w:cs="Arial"/>
          <w:iCs/>
          <w:szCs w:val="22"/>
          <w:lang w:val="fi-FI"/>
        </w:rPr>
        <w:t>osakkeenomistajien ni</w:t>
      </w:r>
      <w:r w:rsidR="00613DC3">
        <w:rPr>
          <w:rFonts w:ascii="Arial" w:hAnsi="Arial" w:cs="Arial"/>
          <w:iCs/>
          <w:szCs w:val="22"/>
          <w:lang w:val="fi-FI"/>
        </w:rPr>
        <w:t xml:space="preserve">mitystoimikunnan </w:t>
      </w:r>
      <w:r w:rsidR="00303F73">
        <w:rPr>
          <w:rFonts w:ascii="Arial" w:hAnsi="Arial" w:cs="Arial"/>
          <w:iCs/>
          <w:szCs w:val="22"/>
          <w:lang w:val="fi-FI"/>
        </w:rPr>
        <w:t>työjärjestyksen</w:t>
      </w:r>
      <w:r w:rsidR="00613DC3" w:rsidRPr="00613DC3">
        <w:rPr>
          <w:rFonts w:ascii="Arial" w:hAnsi="Arial" w:cs="Arial"/>
          <w:iCs/>
          <w:szCs w:val="22"/>
          <w:lang w:val="fi-FI"/>
        </w:rPr>
        <w:t>.</w:t>
      </w:r>
    </w:p>
    <w:p w14:paraId="6D37FC9B" w14:textId="77777777" w:rsidR="00613DC3" w:rsidRPr="00613DC3" w:rsidRDefault="00613DC3" w:rsidP="00613DC3">
      <w:pPr>
        <w:tabs>
          <w:tab w:val="left" w:pos="5954"/>
        </w:tabs>
        <w:spacing w:line="240" w:lineRule="auto"/>
        <w:rPr>
          <w:rFonts w:ascii="Arial" w:hAnsi="Arial" w:cs="Arial"/>
          <w:iCs/>
          <w:szCs w:val="22"/>
          <w:lang w:val="fi-FI"/>
        </w:rPr>
      </w:pPr>
    </w:p>
    <w:p w14:paraId="17E2B2A8" w14:textId="47CC6B0E" w:rsidR="00613DC3" w:rsidRPr="00613DC3" w:rsidRDefault="005861A2" w:rsidP="00613DC3">
      <w:pPr>
        <w:tabs>
          <w:tab w:val="left" w:pos="5954"/>
        </w:tabs>
        <w:spacing w:line="240" w:lineRule="auto"/>
        <w:rPr>
          <w:rFonts w:ascii="Arial" w:hAnsi="Arial" w:cs="Arial"/>
          <w:iCs/>
          <w:szCs w:val="22"/>
          <w:lang w:val="fi-FI"/>
        </w:rPr>
      </w:pPr>
      <w:r>
        <w:rPr>
          <w:rFonts w:ascii="Arial" w:hAnsi="Arial" w:cs="Arial"/>
          <w:iCs/>
          <w:szCs w:val="22"/>
          <w:lang w:val="fi-FI"/>
        </w:rPr>
        <w:t xml:space="preserve">Yhtiökokouksen päätöksen </w:t>
      </w:r>
      <w:r w:rsidR="00613DC3" w:rsidRPr="00613DC3">
        <w:rPr>
          <w:rFonts w:ascii="Arial" w:hAnsi="Arial" w:cs="Arial"/>
          <w:iCs/>
          <w:szCs w:val="22"/>
          <w:lang w:val="fi-FI"/>
        </w:rPr>
        <w:t>mukaan kukin yhtiön neljästä suurimmasta osakkeenomistajasta nimittää jäsenen osakkeenomistajien nimitystoimikuntaan. Yhtiön hallituksen puheenjohtaja toimii asiantuntijana nimitystoimikunnassa olematta toimikunnan jäsen. Osakkeenomistajat, jotka ovat oikeutettuja nimittämään jäsenen, määräytyvät vuosittain 31. elokuuta Euroclear Finland Oy:n ylläpitämän yhtiön osakasluettelon perusteella.</w:t>
      </w:r>
    </w:p>
    <w:p w14:paraId="6EECA3AE" w14:textId="77777777" w:rsidR="00613DC3" w:rsidRPr="00613DC3" w:rsidRDefault="00613DC3" w:rsidP="00613DC3">
      <w:pPr>
        <w:tabs>
          <w:tab w:val="left" w:pos="5954"/>
        </w:tabs>
        <w:spacing w:line="240" w:lineRule="auto"/>
        <w:rPr>
          <w:rFonts w:ascii="Arial" w:hAnsi="Arial" w:cs="Arial"/>
          <w:iCs/>
          <w:szCs w:val="22"/>
          <w:lang w:val="fi-FI"/>
        </w:rPr>
      </w:pPr>
    </w:p>
    <w:p w14:paraId="07504373" w14:textId="77777777" w:rsidR="00613DC3" w:rsidRPr="00613DC3" w:rsidRDefault="00613DC3" w:rsidP="00613DC3">
      <w:pPr>
        <w:tabs>
          <w:tab w:val="left" w:pos="5954"/>
        </w:tabs>
        <w:spacing w:line="240" w:lineRule="auto"/>
        <w:rPr>
          <w:rFonts w:ascii="Arial" w:hAnsi="Arial" w:cs="Arial"/>
          <w:iCs/>
          <w:szCs w:val="22"/>
          <w:lang w:val="fi-FI"/>
        </w:rPr>
      </w:pPr>
      <w:r w:rsidRPr="00613DC3">
        <w:rPr>
          <w:rFonts w:ascii="Arial" w:hAnsi="Arial" w:cs="Arial"/>
          <w:iCs/>
          <w:szCs w:val="22"/>
          <w:lang w:val="fi-FI"/>
        </w:rPr>
        <w:t>Mikäli osakkeenomistaja, jolla on arvopaperimarkkinalain mukainen velvollisuus ottaa huomioon osakeomistukset esimerkiksi useammassa rahastossa tai konserniyhtiössä ilmoittaessaan osakeomistustensa muutoksista tai joka omistaa hallintarekisteröityjä osakkeita, esittää viimeistään elokuun 30. päivänä yhtiön hallituksen puheenjohtajalle asiaa koskevan kirjallisen pyynnön, huomioidaan osakkeenomistajan tällaiset omistukset nimittämisoikeuden määrittämisessä. Mikäli osakkeenomistaja ei halua käyttää nimittämisoikeuttaan, oikeus siirtyy seuraavaksi suurimmalle osakkeenomistajalle, jolla muutoin ei olisi nimittämisoikeutta.</w:t>
      </w:r>
    </w:p>
    <w:p w14:paraId="2D38425C" w14:textId="77777777" w:rsidR="00613DC3" w:rsidRPr="00613DC3" w:rsidRDefault="00613DC3" w:rsidP="00613DC3">
      <w:pPr>
        <w:tabs>
          <w:tab w:val="left" w:pos="5954"/>
        </w:tabs>
        <w:spacing w:line="240" w:lineRule="auto"/>
        <w:rPr>
          <w:rFonts w:ascii="Arial" w:hAnsi="Arial" w:cs="Arial"/>
          <w:iCs/>
          <w:szCs w:val="22"/>
          <w:lang w:val="fi-FI"/>
        </w:rPr>
      </w:pPr>
    </w:p>
    <w:p w14:paraId="62568402" w14:textId="77777777" w:rsidR="00613DC3" w:rsidRPr="00613DC3" w:rsidRDefault="00613DC3" w:rsidP="00613DC3">
      <w:pPr>
        <w:tabs>
          <w:tab w:val="left" w:pos="5954"/>
        </w:tabs>
        <w:spacing w:line="240" w:lineRule="auto"/>
        <w:rPr>
          <w:rFonts w:ascii="Arial" w:hAnsi="Arial" w:cs="Arial"/>
          <w:iCs/>
          <w:szCs w:val="22"/>
          <w:lang w:val="fi-FI"/>
        </w:rPr>
      </w:pPr>
      <w:r w:rsidRPr="00613DC3">
        <w:rPr>
          <w:rFonts w:ascii="Arial" w:hAnsi="Arial" w:cs="Arial"/>
          <w:iCs/>
          <w:szCs w:val="22"/>
          <w:lang w:val="fi-FI"/>
        </w:rPr>
        <w:t>Osakkeenomistajan nimittämän jäsenen tulee erota nimitystoimikunnasta, jos kyseinen osakkeenomistaja myöhemmin luovuttaa yli puolet niistä 31. elokuuta omistamistaan osakkeista, jotka oikeuttivat hänet nimittämään jäsenen, eikä tämän jälkeen enää kuulu yhtiön kymmenen suurimman osakkeenomistajan joukkoon. Oikeutta nimittää jäsen eronneen jäsenen tilalle tarjotaan osakkeenomistajalle, joka välittömästi kyseisen osakkeiden luovutuksen toteuttamisen jälkeen on suurin osakkeenomistaja, joka ei ole vielä nimittänyt jäsentä nimitystoimikuntaan.</w:t>
      </w:r>
    </w:p>
    <w:p w14:paraId="2C133099" w14:textId="77777777" w:rsidR="00613DC3" w:rsidRPr="00613DC3" w:rsidRDefault="00613DC3" w:rsidP="00613DC3">
      <w:pPr>
        <w:tabs>
          <w:tab w:val="left" w:pos="5954"/>
        </w:tabs>
        <w:spacing w:line="240" w:lineRule="auto"/>
        <w:rPr>
          <w:rFonts w:ascii="Arial" w:hAnsi="Arial" w:cs="Arial"/>
          <w:iCs/>
          <w:szCs w:val="22"/>
          <w:lang w:val="fi-FI"/>
        </w:rPr>
      </w:pPr>
    </w:p>
    <w:p w14:paraId="773C1853" w14:textId="77777777" w:rsidR="00613DC3" w:rsidRPr="00613DC3" w:rsidRDefault="00613DC3" w:rsidP="00613DC3">
      <w:pPr>
        <w:tabs>
          <w:tab w:val="left" w:pos="5954"/>
        </w:tabs>
        <w:spacing w:line="240" w:lineRule="auto"/>
        <w:rPr>
          <w:rFonts w:ascii="Arial" w:hAnsi="Arial" w:cs="Arial"/>
          <w:iCs/>
          <w:szCs w:val="22"/>
          <w:lang w:val="fi-FI"/>
        </w:rPr>
      </w:pPr>
      <w:r w:rsidRPr="00613DC3">
        <w:rPr>
          <w:rFonts w:ascii="Arial" w:hAnsi="Arial" w:cs="Arial"/>
          <w:iCs/>
          <w:szCs w:val="22"/>
          <w:lang w:val="fi-FI"/>
        </w:rPr>
        <w:t>Nimitystoimikunnan jäsenet eivät ole oikeutettuja palkkioon yhtiöltä jäsenyytensä perusteella. Jäsenten matkakulut korvataan kuittia vastaan. Nimitystoimikunta voi käyttää ulkopuolisia asiantuntijoita tunnistaakseen ja arvioidakseen potentiaalisia uusia hallituksen jäseniä yhtiön hyväksymien kustannusten mukaisesti.</w:t>
      </w:r>
    </w:p>
    <w:p w14:paraId="577E1193" w14:textId="77777777" w:rsidR="00613DC3" w:rsidRPr="00613DC3" w:rsidRDefault="00613DC3" w:rsidP="00613DC3">
      <w:pPr>
        <w:tabs>
          <w:tab w:val="left" w:pos="5954"/>
        </w:tabs>
        <w:spacing w:line="240" w:lineRule="auto"/>
        <w:rPr>
          <w:rFonts w:ascii="Arial" w:hAnsi="Arial" w:cs="Arial"/>
          <w:iCs/>
          <w:szCs w:val="22"/>
          <w:lang w:val="fi-FI"/>
        </w:rPr>
      </w:pPr>
    </w:p>
    <w:p w14:paraId="1A75241F" w14:textId="77777777" w:rsidR="00613DC3" w:rsidRPr="00613DC3" w:rsidRDefault="00613DC3" w:rsidP="00613DC3">
      <w:pPr>
        <w:tabs>
          <w:tab w:val="left" w:pos="5954"/>
        </w:tabs>
        <w:spacing w:line="240" w:lineRule="auto"/>
        <w:rPr>
          <w:rFonts w:ascii="Arial" w:hAnsi="Arial" w:cs="Arial"/>
          <w:iCs/>
          <w:szCs w:val="22"/>
          <w:lang w:val="fi-FI"/>
        </w:rPr>
      </w:pPr>
      <w:r w:rsidRPr="00613DC3">
        <w:rPr>
          <w:rFonts w:ascii="Arial" w:hAnsi="Arial" w:cs="Arial"/>
          <w:iCs/>
          <w:szCs w:val="22"/>
          <w:lang w:val="fi-FI"/>
        </w:rPr>
        <w:t>Nimitystoimikunta perustetaan toimimaan toistaiseksi, kunnes yhtiökokous toisin päättää. Jäsenet nimitetään vuosittain, ja heidän toimikautensa päättyy kun uudet jäsenet nimitetään heidän tilalleen.</w:t>
      </w:r>
    </w:p>
    <w:p w14:paraId="23FEE524" w14:textId="77777777" w:rsidR="00613DC3" w:rsidRDefault="00613DC3" w:rsidP="001F1032">
      <w:pPr>
        <w:tabs>
          <w:tab w:val="left" w:pos="5954"/>
        </w:tabs>
        <w:spacing w:line="240" w:lineRule="auto"/>
        <w:rPr>
          <w:rStyle w:val="SubtleEmphasis"/>
          <w:rFonts w:ascii="Arial" w:hAnsi="Arial" w:cs="Arial"/>
          <w:i w:val="0"/>
          <w:iCs w:val="0"/>
          <w:color w:val="auto"/>
          <w:szCs w:val="22"/>
          <w:lang w:val="fi-FI"/>
        </w:rPr>
      </w:pPr>
    </w:p>
    <w:p w14:paraId="530F17D4" w14:textId="71373AF7" w:rsidR="00B02235" w:rsidRPr="00613DC3" w:rsidRDefault="00613DC3" w:rsidP="001F1032">
      <w:pPr>
        <w:tabs>
          <w:tab w:val="left" w:pos="5954"/>
        </w:tabs>
        <w:spacing w:line="240" w:lineRule="auto"/>
        <w:rPr>
          <w:rStyle w:val="SubtleEmphasis"/>
          <w:rFonts w:ascii="Arial" w:hAnsi="Arial" w:cs="Arial"/>
          <w:i w:val="0"/>
          <w:iCs w:val="0"/>
          <w:color w:val="auto"/>
          <w:szCs w:val="22"/>
          <w:lang w:val="fi-FI"/>
        </w:rPr>
      </w:pPr>
      <w:r w:rsidRPr="00613DC3">
        <w:rPr>
          <w:rStyle w:val="SubtleEmphasis"/>
          <w:rFonts w:ascii="Arial" w:hAnsi="Arial" w:cs="Arial"/>
          <w:i w:val="0"/>
          <w:iCs w:val="0"/>
          <w:color w:val="auto"/>
          <w:szCs w:val="22"/>
          <w:lang w:val="fi-FI"/>
        </w:rPr>
        <w:t>Koko</w:t>
      </w:r>
      <w:r w:rsidR="00B02235" w:rsidRPr="00613DC3">
        <w:rPr>
          <w:rStyle w:val="SubtleEmphasis"/>
          <w:rFonts w:ascii="Arial" w:hAnsi="Arial" w:cs="Arial"/>
          <w:i w:val="0"/>
          <w:iCs w:val="0"/>
          <w:color w:val="auto"/>
          <w:szCs w:val="22"/>
          <w:lang w:val="fi-FI"/>
        </w:rPr>
        <w:t xml:space="preserve">naisuudessaan </w:t>
      </w:r>
      <w:r w:rsidRPr="00613DC3">
        <w:rPr>
          <w:rFonts w:ascii="Arial" w:hAnsi="Arial" w:cs="Arial"/>
          <w:iCs/>
          <w:szCs w:val="22"/>
          <w:lang w:val="fi-FI"/>
        </w:rPr>
        <w:t xml:space="preserve">osakkeenomistajien nimitystoimikunnan työjärjestys </w:t>
      </w:r>
      <w:r w:rsidRPr="00613DC3">
        <w:rPr>
          <w:rStyle w:val="SubtleEmphasis"/>
          <w:rFonts w:ascii="Arial" w:hAnsi="Arial" w:cs="Arial"/>
          <w:i w:val="0"/>
          <w:iCs w:val="0"/>
          <w:color w:val="auto"/>
          <w:szCs w:val="22"/>
          <w:lang w:val="fi-FI"/>
        </w:rPr>
        <w:t>kuuluu</w:t>
      </w:r>
      <w:r w:rsidR="00B02235" w:rsidRPr="00613DC3">
        <w:rPr>
          <w:rStyle w:val="SubtleEmphasis"/>
          <w:rFonts w:ascii="Arial" w:hAnsi="Arial" w:cs="Arial"/>
          <w:i w:val="0"/>
          <w:iCs w:val="0"/>
          <w:color w:val="auto"/>
          <w:szCs w:val="22"/>
          <w:lang w:val="fi-FI"/>
        </w:rPr>
        <w:t xml:space="preserve"> seuraavasti:</w:t>
      </w:r>
    </w:p>
    <w:p w14:paraId="6EDE0B4A" w14:textId="576415EF" w:rsidR="00613DC3" w:rsidRPr="00613DC3" w:rsidRDefault="00613DC3" w:rsidP="001F1032">
      <w:pPr>
        <w:tabs>
          <w:tab w:val="left" w:pos="5954"/>
        </w:tabs>
        <w:spacing w:line="240" w:lineRule="auto"/>
        <w:rPr>
          <w:rStyle w:val="SubtleEmphasis"/>
          <w:rFonts w:ascii="Arial" w:hAnsi="Arial" w:cs="Arial"/>
          <w:i w:val="0"/>
          <w:iCs w:val="0"/>
          <w:color w:val="auto"/>
          <w:szCs w:val="22"/>
          <w:lang w:val="fi-FI"/>
        </w:rPr>
      </w:pPr>
    </w:p>
    <w:p w14:paraId="6032A383" w14:textId="77777777" w:rsidR="00613DC3" w:rsidRPr="00613DC3" w:rsidRDefault="00613DC3" w:rsidP="00613DC3">
      <w:pPr>
        <w:pStyle w:val="Heading1"/>
        <w:numPr>
          <w:ilvl w:val="0"/>
          <w:numId w:val="16"/>
        </w:numPr>
        <w:spacing w:after="240" w:line="240" w:lineRule="auto"/>
        <w:ind w:right="0"/>
        <w:jc w:val="both"/>
        <w:rPr>
          <w:rFonts w:ascii="Tahoma" w:hAnsi="Tahoma" w:cs="Tahoma"/>
          <w:sz w:val="22"/>
          <w:szCs w:val="22"/>
          <w:lang w:val="fi-FI"/>
        </w:rPr>
      </w:pPr>
      <w:r w:rsidRPr="00613DC3">
        <w:rPr>
          <w:rFonts w:ascii="Tahoma" w:hAnsi="Tahoma" w:cs="Tahoma"/>
          <w:sz w:val="22"/>
          <w:szCs w:val="22"/>
          <w:lang w:val="fi-FI"/>
        </w:rPr>
        <w:t>Osakkeenomistajien nimitystoimikunnan tarkoitus</w:t>
      </w:r>
    </w:p>
    <w:p w14:paraId="11B7D220"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Konecranes Oyj:n (jäljempänä "</w:t>
      </w:r>
      <w:r w:rsidRPr="00613DC3">
        <w:rPr>
          <w:rFonts w:ascii="Tahoma" w:hAnsi="Tahoma" w:cs="Tahoma"/>
          <w:b/>
          <w:sz w:val="22"/>
          <w:szCs w:val="22"/>
        </w:rPr>
        <w:t>Konecranes</w:t>
      </w:r>
      <w:r w:rsidRPr="00613DC3">
        <w:rPr>
          <w:rFonts w:ascii="Tahoma" w:hAnsi="Tahoma" w:cs="Tahoma"/>
          <w:sz w:val="22"/>
          <w:szCs w:val="22"/>
        </w:rPr>
        <w:t>" tai "</w:t>
      </w:r>
      <w:r w:rsidRPr="00613DC3">
        <w:rPr>
          <w:rFonts w:ascii="Tahoma" w:hAnsi="Tahoma" w:cs="Tahoma"/>
          <w:b/>
          <w:sz w:val="22"/>
          <w:szCs w:val="22"/>
        </w:rPr>
        <w:t>Yhtiö</w:t>
      </w:r>
      <w:r w:rsidRPr="00613DC3">
        <w:rPr>
          <w:rFonts w:ascii="Tahoma" w:hAnsi="Tahoma" w:cs="Tahoma"/>
          <w:sz w:val="22"/>
          <w:szCs w:val="22"/>
        </w:rPr>
        <w:t>") osakkeenomistajien nimitystoimikunta (jäljempänä "</w:t>
      </w:r>
      <w:r w:rsidRPr="00613DC3">
        <w:rPr>
          <w:rFonts w:ascii="Tahoma" w:hAnsi="Tahoma" w:cs="Tahoma"/>
          <w:b/>
          <w:sz w:val="22"/>
          <w:szCs w:val="22"/>
        </w:rPr>
        <w:t>Nimitystoimikunta</w:t>
      </w:r>
      <w:r w:rsidRPr="00613DC3">
        <w:rPr>
          <w:rFonts w:ascii="Tahoma" w:hAnsi="Tahoma" w:cs="Tahoma"/>
          <w:sz w:val="22"/>
          <w:szCs w:val="22"/>
        </w:rPr>
        <w:t>") on Yhtiön osakkeenomistajien toimielin, jonka tehtävänä on valmistella varsinaiselle yhtiökokoukselle sekä tarvittaessa ylimääräiselle yhtiökokoukselle hallituksen jäsenten valintaa ja palkitsemista koskevat ehdotukset, sekä tunnistaa potentiaalisia ehdokkaita hallituksen jäseniksi.</w:t>
      </w:r>
    </w:p>
    <w:p w14:paraId="5404E0ED"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lastRenderedPageBreak/>
        <w:t>Nimitystoimikunnan tulee varmistaa, että hallitus ja sen jäsenet ylläpitävät ja edustavat riittävää asiantuntemusta, osaamista ja pätevyyttä sekä monimuotoisuutta. Nimitystoimikunta noudattaa toiminnassaan voimassa olevaa lainsäädäntöä ja muuta sääntelyä, mukaan lukien pörssin sääntöjä ja Suomen listayhtiöiden hallinnointikoodia.</w:t>
      </w:r>
    </w:p>
    <w:p w14:paraId="5A35D2FE" w14:textId="77777777" w:rsidR="00613DC3" w:rsidRPr="00613DC3" w:rsidRDefault="00613DC3" w:rsidP="00613DC3">
      <w:pPr>
        <w:pStyle w:val="ListNumberIndent"/>
        <w:tabs>
          <w:tab w:val="clear" w:pos="1418"/>
          <w:tab w:val="num" w:pos="709"/>
        </w:tabs>
        <w:ind w:left="709" w:firstLine="0"/>
        <w:rPr>
          <w:rFonts w:ascii="Tahoma" w:hAnsi="Tahoma" w:cs="Tahoma"/>
        </w:rPr>
      </w:pPr>
      <w:r w:rsidRPr="00613DC3">
        <w:rPr>
          <w:rFonts w:ascii="Tahoma" w:hAnsi="Tahoma" w:cs="Tahoma"/>
        </w:rPr>
        <w:t>Tämä työjärjestys sääntelee Nimitystoimikunnan jäsenten nimittämistä ja kokoonpanoa sekä määrittelee Nimitystoimikunnan tehtävät ja velvollisuudet.</w:t>
      </w:r>
    </w:p>
    <w:p w14:paraId="5DEC2D84" w14:textId="77777777" w:rsidR="00613DC3" w:rsidRPr="00613DC3" w:rsidRDefault="00613DC3" w:rsidP="00613DC3">
      <w:pPr>
        <w:pStyle w:val="Heading1"/>
        <w:numPr>
          <w:ilvl w:val="0"/>
          <w:numId w:val="16"/>
        </w:numPr>
        <w:spacing w:after="240" w:line="240" w:lineRule="auto"/>
        <w:ind w:right="0"/>
        <w:jc w:val="both"/>
        <w:rPr>
          <w:rFonts w:ascii="Tahoma" w:hAnsi="Tahoma" w:cs="Tahoma"/>
          <w:sz w:val="22"/>
          <w:szCs w:val="22"/>
          <w:lang w:val="fi-FI"/>
        </w:rPr>
      </w:pPr>
      <w:r w:rsidRPr="00613DC3">
        <w:rPr>
          <w:rFonts w:ascii="Tahoma" w:hAnsi="Tahoma" w:cs="Tahoma"/>
          <w:sz w:val="22"/>
          <w:szCs w:val="22"/>
          <w:lang w:val="fi-FI"/>
        </w:rPr>
        <w:t>Nimitystoimikunnan jäsenten nimittäminen ja kokoonpano</w:t>
      </w:r>
    </w:p>
    <w:p w14:paraId="489B1996"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Kukin yhtiön neljästä suurimmasta osakkeenomistajasta nimittää jäsenen osakkeenomistajien nimitystoimikuntaan. Yhtiön hallituksen puheenjohtaja toimii asiantuntijana Nimitystoimikunnassa ilman jäsenyyttä tai äänioikeutta, eikä häntä lasketa mukaan Nimitystoimikunnan päätösvaltaisuutta laskettaessa. Osakkeenomistajat, jotka ovat oikeutettuja nimittämään jäsenen, määritetään vuosittain 31. elokuuta Euroclear Finland Oy:n ylläpitämän yhtiön osakasluettelon perusteella. Hallituksen puheenjohtaja pyytää neljää suurinta osakkeenomistajaa kutakin nimittämään yhden jäsenen Nimitystoimikuntaan. Mikäli kahdella suurimmista osakkeenomistajista on sama määrä osakkeita ja ääniä eikä molempien osakkeenomistajien nimittämää edustajaa voida nimittää Nimitystoimikuntaan, asia ratkaistaan arvalla.</w:t>
      </w:r>
    </w:p>
    <w:p w14:paraId="01317A45"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 xml:space="preserve">Mikäli osakkeenomistaja, jolla on arvopaperimarkkinalain mukainen velvollisuus ottaa huomioon osakeomistukset esimerkiksi useammassa rahastossa tai konserniyhtiössä ilmoittaessaan osakeomistustensa muutoksista tai joka omistaa hallintarekisteröityjä osakkeita, esittää viimeistään elokuun 30. päivänä yhtiön hallituksen puheenjohtajalle asiaa koskevan kirjallisen pyynnön, huomioidaan osakkeenomistajan tällaiset omistukset nimittämisoikeuden määrittämisessä. </w:t>
      </w:r>
    </w:p>
    <w:p w14:paraId="622C5652"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Mikäli osakkeenomistaja ei halua käyttää nimittämisoikeuttaan, oikeus siirtyy seuraavaksi suurimmalle osakkeenomistajalle, jolla muutoin ei olisi nimittämisoikeutta.</w:t>
      </w:r>
    </w:p>
    <w:p w14:paraId="59F87CE7"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Hallituksen puheenjohtaja kutsuu koolle Nimitystoimikunnan ensimmäisen kokouksen ja toimii Nimitystoimikunnan puheenjohtajana, kunnes Nimitystoimikunta on valinnut jäsentensä keskuudesta puheenjohtajan. Nimitystoimikunnan puheenjohtajaksi valitaan suurimman osakkeenomistajan edustaja, ellei Nimitystoimikunta päätä toisin. Muut kokoukset kutsuu koolle Nimitystoimikunnan valitsema puheenjohtaja.</w:t>
      </w:r>
    </w:p>
    <w:p w14:paraId="2CDC8B8D"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Yhtiö julkistaa Nimitystoimikunnan kokoonpanon sekä kokoonpanon muutokset pörssitiedotteella.</w:t>
      </w:r>
    </w:p>
    <w:p w14:paraId="23E26DB3"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Osakkeenomistajan nimittämän jäsenen tulee erota osakkeenomistajien nimitystoimikunnasta, jos kyseinen osakkeenomistaja myöhemmin luovuttaa yli puolet niistä 31. elokuuta omistamistaan osakkeista, jotka oikeuttivat hänet nimittämään jäsenen, eikä tämän jälkeen enää kuulu yhtiön kymmenen suurimman osakkeenomistajan joukkoon. Oikeutta nimittää jäsen eronneen jäsenen tilalle tulee tarjota osakkeenomistajalle, joka välittömästi kyseisen osakkeiden luovutuksen toteuttamisen jälkeen on suurin osakkeenomistaja, joka ei ole vielä nimittänyt jäsentä Nimitystoimikuntaan. Mikäli kyseinen osakkeenomistaja ei halua käyttää nimittämisoikeuttaan, oikeus siirtyy seuraavaksi suurimmalle osakkeenomistajalle, jolla muutoin ei olisi nimittämisoikeutta.</w:t>
      </w:r>
    </w:p>
    <w:p w14:paraId="40973ED3"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Nimitykseen oikeutetulla osakkeenomistajalla, joka on nimittänyt edustajan Nimitystoimikuntaan, on oikeus vaihtaa edustajansa milloin tahansa.</w:t>
      </w:r>
    </w:p>
    <w:p w14:paraId="0551F37B" w14:textId="77777777" w:rsidR="00613DC3" w:rsidRPr="00613DC3" w:rsidRDefault="00613DC3" w:rsidP="00613DC3">
      <w:pPr>
        <w:pStyle w:val="ListNumberIndent"/>
        <w:tabs>
          <w:tab w:val="clear" w:pos="1418"/>
          <w:tab w:val="num" w:pos="709"/>
        </w:tabs>
        <w:ind w:left="709" w:firstLine="0"/>
        <w:rPr>
          <w:rFonts w:ascii="Tahoma" w:hAnsi="Tahoma" w:cs="Tahoma"/>
        </w:rPr>
      </w:pPr>
      <w:r w:rsidRPr="00613DC3">
        <w:rPr>
          <w:rFonts w:ascii="Tahoma" w:hAnsi="Tahoma" w:cs="Tahoma"/>
        </w:rPr>
        <w:lastRenderedPageBreak/>
        <w:t>Nimitystoimikunta perustetaan toimimaan toistaiseksi, kunnes yhtiökokous toisin päättää. Nimitystoimikunnan jäsenet nimitetään vuosittain, ja heidän toimikautensa päättyy, kun uudet jäsenet nimitetään heidän tilalleen.</w:t>
      </w:r>
    </w:p>
    <w:p w14:paraId="33F66C75" w14:textId="77777777" w:rsidR="00613DC3" w:rsidRPr="00613DC3" w:rsidRDefault="00613DC3" w:rsidP="00613DC3">
      <w:pPr>
        <w:pStyle w:val="Heading1"/>
        <w:numPr>
          <w:ilvl w:val="0"/>
          <w:numId w:val="16"/>
        </w:numPr>
        <w:spacing w:after="240" w:line="240" w:lineRule="auto"/>
        <w:ind w:right="0"/>
        <w:jc w:val="both"/>
        <w:rPr>
          <w:rFonts w:ascii="Tahoma" w:hAnsi="Tahoma" w:cs="Tahoma"/>
          <w:sz w:val="22"/>
          <w:szCs w:val="22"/>
          <w:lang w:val="fi-FI"/>
        </w:rPr>
      </w:pPr>
      <w:r w:rsidRPr="00613DC3">
        <w:rPr>
          <w:rFonts w:ascii="Tahoma" w:hAnsi="Tahoma" w:cs="Tahoma"/>
          <w:sz w:val="22"/>
          <w:szCs w:val="22"/>
          <w:lang w:val="fi-FI"/>
        </w:rPr>
        <w:t>Nimitystoimikunnan tehtävät ja palkkio</w:t>
      </w:r>
    </w:p>
    <w:p w14:paraId="0FAB95E1"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Nimitystoimikunnan tehtävänä on:</w:t>
      </w:r>
    </w:p>
    <w:p w14:paraId="44A19641" w14:textId="77777777" w:rsidR="00613DC3" w:rsidRPr="00613DC3" w:rsidRDefault="00613DC3" w:rsidP="00613DC3">
      <w:pPr>
        <w:pStyle w:val="ListNumberIndent"/>
        <w:numPr>
          <w:ilvl w:val="3"/>
          <w:numId w:val="16"/>
        </w:numPr>
        <w:tabs>
          <w:tab w:val="num" w:pos="709"/>
        </w:tabs>
        <w:rPr>
          <w:rFonts w:ascii="Tahoma" w:hAnsi="Tahoma" w:cs="Tahoma"/>
        </w:rPr>
      </w:pPr>
      <w:r w:rsidRPr="00613DC3">
        <w:rPr>
          <w:rFonts w:ascii="Tahoma" w:hAnsi="Tahoma" w:cs="Tahoma"/>
        </w:rPr>
        <w:t>valmistella ja esitellä varsinaiselle yhtiökokoukselle ja tarvittaessa ylimääräiselle yhtiökokoukselle ehdotus hallituksen jäsenten lukumääräksi;</w:t>
      </w:r>
    </w:p>
    <w:p w14:paraId="060E1A54" w14:textId="602D63E2" w:rsidR="00613DC3" w:rsidRPr="00613DC3" w:rsidRDefault="00613DC3" w:rsidP="00613DC3">
      <w:pPr>
        <w:pStyle w:val="ListNumberIndent"/>
        <w:numPr>
          <w:ilvl w:val="3"/>
          <w:numId w:val="16"/>
        </w:numPr>
        <w:tabs>
          <w:tab w:val="num" w:pos="709"/>
        </w:tabs>
        <w:rPr>
          <w:rFonts w:ascii="Tahoma" w:hAnsi="Tahoma" w:cs="Tahoma"/>
        </w:rPr>
      </w:pPr>
      <w:r w:rsidRPr="00613DC3">
        <w:rPr>
          <w:rFonts w:ascii="Tahoma" w:hAnsi="Tahoma" w:cs="Tahoma"/>
        </w:rPr>
        <w:t xml:space="preserve">valmistella ja esitellä varsinaiselle yhtiökokoukselle ja tarvittaessa ylimääräiselle yhtiökokoukselle, ehdotus hallituksen jäsenten valitsemiseksi, ottaen huomioon alla kohdassa </w:t>
      </w:r>
      <w:r w:rsidR="007E6099">
        <w:rPr>
          <w:rFonts w:ascii="Tahoma" w:hAnsi="Tahoma" w:cs="Tahoma"/>
        </w:rPr>
        <w:t>6.2</w:t>
      </w:r>
      <w:r w:rsidRPr="00613DC3">
        <w:rPr>
          <w:rFonts w:ascii="Tahoma" w:hAnsi="Tahoma" w:cs="Tahoma"/>
        </w:rPr>
        <w:t xml:space="preserve"> kuvatun mahdollisen henkilöstön edustajan valinnan;</w:t>
      </w:r>
    </w:p>
    <w:p w14:paraId="6614AC67" w14:textId="77777777" w:rsidR="00613DC3" w:rsidRPr="00613DC3" w:rsidRDefault="00613DC3" w:rsidP="00613DC3">
      <w:pPr>
        <w:pStyle w:val="ListNumberIndent"/>
        <w:numPr>
          <w:ilvl w:val="3"/>
          <w:numId w:val="16"/>
        </w:numPr>
        <w:tabs>
          <w:tab w:val="num" w:pos="709"/>
        </w:tabs>
        <w:rPr>
          <w:rFonts w:ascii="Tahoma" w:hAnsi="Tahoma" w:cs="Tahoma"/>
        </w:rPr>
      </w:pPr>
      <w:r w:rsidRPr="00613DC3">
        <w:rPr>
          <w:rFonts w:ascii="Tahoma" w:hAnsi="Tahoma" w:cs="Tahoma"/>
        </w:rPr>
        <w:t xml:space="preserve">valmistella ja esitellä varsinaiselle yhtiökokoukselle ja tarvittaessa ylimääräiselle yhtiökokoukselle ehdotus hallituksen jäsenten palkitsemiseksi; </w:t>
      </w:r>
    </w:p>
    <w:p w14:paraId="4226EBD8" w14:textId="77777777" w:rsidR="00613DC3" w:rsidRPr="00613DC3" w:rsidRDefault="00613DC3" w:rsidP="00613DC3">
      <w:pPr>
        <w:pStyle w:val="ListNumberIndent"/>
        <w:numPr>
          <w:ilvl w:val="3"/>
          <w:numId w:val="16"/>
        </w:numPr>
        <w:tabs>
          <w:tab w:val="num" w:pos="709"/>
        </w:tabs>
        <w:rPr>
          <w:rFonts w:ascii="Tahoma" w:hAnsi="Tahoma" w:cs="Tahoma"/>
        </w:rPr>
      </w:pPr>
      <w:r w:rsidRPr="00613DC3">
        <w:rPr>
          <w:rFonts w:ascii="Tahoma" w:hAnsi="Tahoma" w:cs="Tahoma"/>
        </w:rPr>
        <w:t>etsiä hallituksen jäsenten seuraajaehdokkaita; sekä</w:t>
      </w:r>
    </w:p>
    <w:p w14:paraId="6A32A40B" w14:textId="77777777" w:rsidR="00613DC3" w:rsidRPr="00613DC3" w:rsidRDefault="00613DC3" w:rsidP="00613DC3">
      <w:pPr>
        <w:pStyle w:val="ListNumberIndent"/>
        <w:numPr>
          <w:ilvl w:val="3"/>
          <w:numId w:val="16"/>
        </w:numPr>
        <w:tabs>
          <w:tab w:val="num" w:pos="709"/>
        </w:tabs>
        <w:rPr>
          <w:rFonts w:ascii="Tahoma" w:hAnsi="Tahoma" w:cs="Tahoma"/>
        </w:rPr>
      </w:pPr>
      <w:r w:rsidRPr="00613DC3">
        <w:rPr>
          <w:rFonts w:ascii="Tahoma" w:hAnsi="Tahoma" w:cs="Tahoma"/>
        </w:rPr>
        <w:t>osallistua hallituksen monimuotoisuuspolitiikan tulevaan kehittämiseen.</w:t>
      </w:r>
    </w:p>
    <w:p w14:paraId="33CC2D63" w14:textId="77777777" w:rsidR="00613DC3" w:rsidRPr="00613DC3" w:rsidRDefault="00613DC3" w:rsidP="00613DC3">
      <w:pPr>
        <w:pStyle w:val="ListNumberIndent"/>
        <w:tabs>
          <w:tab w:val="clear" w:pos="1418"/>
          <w:tab w:val="num" w:pos="709"/>
        </w:tabs>
        <w:ind w:left="709" w:firstLine="0"/>
        <w:rPr>
          <w:rFonts w:ascii="Tahoma" w:hAnsi="Tahoma" w:cs="Tahoma"/>
        </w:rPr>
      </w:pPr>
      <w:r w:rsidRPr="00613DC3">
        <w:rPr>
          <w:rFonts w:ascii="Tahoma" w:hAnsi="Tahoma" w:cs="Tahoma"/>
        </w:rPr>
        <w:t>Nimitystoimikunnan jäsenet eivät ole oikeutettuja palkkioon Yhtiöltä jäsenyytensä perusteella. Jäsenten matkakulut korvataan kuittia vastaan.</w:t>
      </w:r>
    </w:p>
    <w:p w14:paraId="3AF5FE51" w14:textId="77777777" w:rsidR="00613DC3" w:rsidRPr="00613DC3" w:rsidRDefault="00613DC3" w:rsidP="00613DC3">
      <w:pPr>
        <w:pStyle w:val="Heading1"/>
        <w:numPr>
          <w:ilvl w:val="0"/>
          <w:numId w:val="16"/>
        </w:numPr>
        <w:spacing w:after="240" w:line="240" w:lineRule="auto"/>
        <w:ind w:right="0"/>
        <w:jc w:val="both"/>
        <w:rPr>
          <w:rFonts w:ascii="Tahoma" w:hAnsi="Tahoma" w:cs="Tahoma"/>
          <w:sz w:val="22"/>
          <w:szCs w:val="22"/>
          <w:lang w:val="fi-FI"/>
        </w:rPr>
      </w:pPr>
      <w:r w:rsidRPr="00613DC3">
        <w:rPr>
          <w:rFonts w:ascii="Tahoma" w:hAnsi="Tahoma" w:cs="Tahoma"/>
          <w:sz w:val="22"/>
          <w:szCs w:val="22"/>
          <w:lang w:val="fi-FI"/>
        </w:rPr>
        <w:t>Nimitystoimikunnan puheenjohtajan tehtävät</w:t>
      </w:r>
    </w:p>
    <w:p w14:paraId="0A2A2A9E"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Nimitystoimikunnan puheenjohtajan on ohjattava Nimitystoimikunnan työskentelyä siten, että Nimitystoimikunta saavuttaa tavoitteensa tehokkaasti ja ottaa asianmukaisesti huomioon osakkeenomistajien odotukset sekä Yhtiön edun.</w:t>
      </w:r>
    </w:p>
    <w:p w14:paraId="0EB1A3ED" w14:textId="77777777" w:rsidR="00613DC3" w:rsidRPr="00613DC3" w:rsidRDefault="00613DC3" w:rsidP="00613DC3">
      <w:pPr>
        <w:pStyle w:val="ListNumberIndent"/>
        <w:tabs>
          <w:tab w:val="clear" w:pos="1418"/>
          <w:tab w:val="num" w:pos="709"/>
        </w:tabs>
        <w:ind w:left="709" w:firstLine="0"/>
        <w:rPr>
          <w:rFonts w:ascii="Tahoma" w:hAnsi="Tahoma" w:cs="Tahoma"/>
        </w:rPr>
      </w:pPr>
      <w:r w:rsidRPr="00613DC3">
        <w:rPr>
          <w:rFonts w:ascii="Tahoma" w:hAnsi="Tahoma" w:cs="Tahoma"/>
        </w:rPr>
        <w:t>Nimitystoimikunnan puheenjohtaja kutsuu koolle Nimitystoimikunnan kokouksen kun Nimitystoimikunnan tehtävät niin vaativat, sekä 14 päivän kuluessa toisen Nimitystoimikunnan jäsenen esittämästä pyynnöstä.</w:t>
      </w:r>
    </w:p>
    <w:p w14:paraId="4FEA7B3C" w14:textId="77777777" w:rsidR="00613DC3" w:rsidRPr="00613DC3" w:rsidRDefault="00613DC3" w:rsidP="00613DC3">
      <w:pPr>
        <w:pStyle w:val="Heading1"/>
        <w:numPr>
          <w:ilvl w:val="0"/>
          <w:numId w:val="16"/>
        </w:numPr>
        <w:spacing w:after="240" w:line="240" w:lineRule="auto"/>
        <w:ind w:right="0"/>
        <w:jc w:val="both"/>
        <w:rPr>
          <w:rFonts w:ascii="Tahoma" w:hAnsi="Tahoma" w:cs="Tahoma"/>
          <w:sz w:val="22"/>
          <w:szCs w:val="22"/>
          <w:lang w:val="fi-FI"/>
        </w:rPr>
      </w:pPr>
      <w:r w:rsidRPr="00613DC3">
        <w:rPr>
          <w:rFonts w:ascii="Tahoma" w:hAnsi="Tahoma" w:cs="Tahoma"/>
          <w:sz w:val="22"/>
          <w:szCs w:val="22"/>
          <w:lang w:val="fi-FI"/>
        </w:rPr>
        <w:t>Päätöksenteko</w:t>
      </w:r>
    </w:p>
    <w:p w14:paraId="71869937"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 xml:space="preserve">Nimitystoimikunta on päätösvaltainen, kun paikalla on yli puolet sen jäsenistä. Päätöksiä ei saa tehdä, ellei kaikille jäsenille ole varattu tilaisuutta osallistua asian käsittelyyn ja kokoukseen. </w:t>
      </w:r>
    </w:p>
    <w:p w14:paraId="53B0CCD0"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Nimitystoimikunnan on tehtävä päätöksensä yksimielisesti. Mikäli yksimielisyyttä ei saavuteta, Nimitystoimikunnan on ilmoitettava hallitukselle, ettei se pysty tekemään ehdotusta yhtiökokoukselle.</w:t>
      </w:r>
    </w:p>
    <w:p w14:paraId="40AE2EE4" w14:textId="77777777" w:rsidR="00613DC3" w:rsidRPr="00613DC3" w:rsidRDefault="00613DC3" w:rsidP="00613DC3">
      <w:pPr>
        <w:pStyle w:val="ListNumberIndent"/>
        <w:tabs>
          <w:tab w:val="clear" w:pos="1418"/>
          <w:tab w:val="num" w:pos="709"/>
        </w:tabs>
        <w:ind w:left="709" w:firstLine="0"/>
        <w:rPr>
          <w:rFonts w:ascii="Tahoma" w:hAnsi="Tahoma" w:cs="Tahoma"/>
        </w:rPr>
      </w:pPr>
      <w:r w:rsidRPr="00613DC3">
        <w:rPr>
          <w:rFonts w:ascii="Tahoma" w:hAnsi="Tahoma" w:cs="Tahoma"/>
        </w:rPr>
        <w:t>Kaikista Nimitystoimikunnan päätöksistä pidetään pöytäkirjaa, ja kaikki pöytäkirjat on päivättävä, numeroitava ja säilytettävä Yhtiön toimesta. Nimitystoimikunnan puheenjohtaja ja vähintään yksi Nimitystoimikunnan jäsen allekirjoittavat pöytäkirjan.</w:t>
      </w:r>
    </w:p>
    <w:p w14:paraId="7549A6CF" w14:textId="77777777" w:rsidR="00613DC3" w:rsidRPr="00613DC3" w:rsidRDefault="00613DC3" w:rsidP="00613DC3">
      <w:pPr>
        <w:pStyle w:val="Heading1"/>
        <w:numPr>
          <w:ilvl w:val="0"/>
          <w:numId w:val="16"/>
        </w:numPr>
        <w:spacing w:after="240" w:line="240" w:lineRule="auto"/>
        <w:ind w:right="0"/>
        <w:jc w:val="both"/>
        <w:rPr>
          <w:rFonts w:ascii="Tahoma" w:hAnsi="Tahoma" w:cs="Tahoma"/>
          <w:sz w:val="22"/>
          <w:szCs w:val="22"/>
          <w:lang w:val="fi-FI"/>
        </w:rPr>
      </w:pPr>
      <w:r w:rsidRPr="00613DC3">
        <w:rPr>
          <w:rFonts w:ascii="Tahoma" w:hAnsi="Tahoma" w:cs="Tahoma"/>
          <w:sz w:val="22"/>
          <w:szCs w:val="22"/>
          <w:lang w:val="fi-FI"/>
        </w:rPr>
        <w:lastRenderedPageBreak/>
        <w:t>Hallituksen kokoonpanoa koskevan ehdotuksen valmistelu</w:t>
      </w:r>
    </w:p>
    <w:p w14:paraId="25914611" w14:textId="77777777" w:rsidR="00613DC3" w:rsidRPr="00613DC3" w:rsidRDefault="00613DC3" w:rsidP="00613DC3">
      <w:pPr>
        <w:pStyle w:val="Heading2"/>
        <w:numPr>
          <w:ilvl w:val="1"/>
          <w:numId w:val="16"/>
        </w:numPr>
        <w:spacing w:after="240" w:line="240" w:lineRule="auto"/>
        <w:ind w:right="0"/>
        <w:jc w:val="both"/>
        <w:rPr>
          <w:rFonts w:ascii="Tahoma" w:hAnsi="Tahoma" w:cs="Tahoma"/>
          <w:szCs w:val="22"/>
          <w:lang w:val="fi-FI"/>
        </w:rPr>
      </w:pPr>
      <w:r w:rsidRPr="00613DC3">
        <w:rPr>
          <w:rFonts w:ascii="Tahoma" w:hAnsi="Tahoma" w:cs="Tahoma"/>
          <w:szCs w:val="22"/>
          <w:lang w:val="fi-FI"/>
        </w:rPr>
        <w:t>Ehdotuksen valmistelu</w:t>
      </w:r>
    </w:p>
    <w:p w14:paraId="5139BF2F"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Nimitystoimikunta valmistelee yhtiökokoukselle esitettävän ehdotuksen koskien hallituksen kokoonpanoa, mukaan lukien alla kohdan 6.2 mukaisesti mahdollisesti valittavan työntekijöiden edustajan. Kuka tahansa Yhtiön osakkeenomistaja voi kuitenkin tehdä ehdotuksen suoraan yhtiökokoukselle osakeyhtiölain mukaisesti.</w:t>
      </w:r>
    </w:p>
    <w:p w14:paraId="2F685314"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Valmistellessaan hallituksen kokoonpanoa koskevaa ehdotustaan Nimitystoimikunnan on myös huomioitava listayhtiöiden hallinnointikoodin mukaiset riippumattomuusvaatimukset, listayhtiöiden hallinnointikoodin mukaisesti laaditut vuosittaiset arvioinnit hallituksen toiminnasta, hallituksen monimuotoisuuspolitiikka sekä muut soveltuvat määräykset ja sääntely. Nimitystoimikunta voi käyttää ulkopuolisia asiantuntijoita tunnistaakseen ja arvioidakseen potentiaalisia uusia hallituksen jäsenehdokkaita Yhtiön hyväksymien kustannusten mukaisesti.</w:t>
      </w:r>
    </w:p>
    <w:p w14:paraId="5047FA69" w14:textId="77777777" w:rsidR="00613DC3" w:rsidRPr="00613DC3" w:rsidRDefault="00613DC3" w:rsidP="00613DC3">
      <w:pPr>
        <w:pStyle w:val="ListNumberIndent"/>
        <w:tabs>
          <w:tab w:val="clear" w:pos="1418"/>
          <w:tab w:val="num" w:pos="709"/>
        </w:tabs>
        <w:ind w:left="709" w:firstLine="0"/>
        <w:rPr>
          <w:rFonts w:ascii="Tahoma" w:hAnsi="Tahoma" w:cs="Tahoma"/>
        </w:rPr>
      </w:pPr>
      <w:r w:rsidRPr="00613DC3">
        <w:rPr>
          <w:rFonts w:ascii="Tahoma" w:hAnsi="Tahoma" w:cs="Tahoma"/>
        </w:rPr>
        <w:t>Nimitystoimikunnalla on oikeus saada Yhtiöltä ja hallituksen jäsenehdokkailta hallituksen toiminnan vuosittaisen arvioinnin tulokset, hallituksen jäsenehdokkaiden riippumattomuuden arvioinnin kannalta olennaiset tiedot sekä Nimitystoimikunnan ehdotustensa valmistelussa kohtuudella tarvitsemia muita tietoja.</w:t>
      </w:r>
    </w:p>
    <w:p w14:paraId="745E674E" w14:textId="77777777" w:rsidR="00613DC3" w:rsidRPr="00613DC3" w:rsidRDefault="00613DC3" w:rsidP="00613DC3">
      <w:pPr>
        <w:pStyle w:val="Heading2"/>
        <w:numPr>
          <w:ilvl w:val="1"/>
          <w:numId w:val="16"/>
        </w:numPr>
        <w:spacing w:after="240" w:line="240" w:lineRule="auto"/>
        <w:ind w:right="0"/>
        <w:jc w:val="both"/>
        <w:rPr>
          <w:rFonts w:ascii="Tahoma" w:hAnsi="Tahoma" w:cs="Tahoma"/>
          <w:szCs w:val="22"/>
          <w:lang w:val="fi-FI"/>
        </w:rPr>
      </w:pPr>
      <w:bookmarkStart w:id="1" w:name="_Ref536638395"/>
      <w:r w:rsidRPr="00613DC3">
        <w:rPr>
          <w:rFonts w:ascii="Tahoma" w:hAnsi="Tahoma" w:cs="Tahoma"/>
          <w:szCs w:val="22"/>
          <w:lang w:val="fi-FI"/>
        </w:rPr>
        <w:t>Työntekijöiden edustajan valinta</w:t>
      </w:r>
      <w:bookmarkEnd w:id="1"/>
    </w:p>
    <w:p w14:paraId="64AE2161"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Jos Yhtiöllä on henkilöstöä edustavan elimen tai elimien kanssa voimassaoleva sopimus henkilöstön edustuksesta</w:t>
      </w:r>
      <w:r w:rsidRPr="00613DC3">
        <w:rPr>
          <w:rStyle w:val="FootnoteReference"/>
          <w:rFonts w:ascii="Tahoma" w:hAnsi="Tahoma" w:cs="Tahoma"/>
          <w:sz w:val="22"/>
          <w:szCs w:val="22"/>
        </w:rPr>
        <w:footnoteReference w:id="1"/>
      </w:r>
      <w:r w:rsidRPr="00613DC3">
        <w:rPr>
          <w:rFonts w:ascii="Tahoma" w:hAnsi="Tahoma" w:cs="Tahoma"/>
          <w:sz w:val="22"/>
          <w:szCs w:val="22"/>
        </w:rPr>
        <w:t xml:space="preserve"> koskien henkilöstön edustajan valintaa hallitukseen joko täysivaltaiseksi jäseneksi tai muutoin, Nimitystoimikunnan on huomioitava tällainen sopimus yhtiökokoukselle tekemässään ehdotuksessa koskien hallituksen kokoonpanoa.</w:t>
      </w:r>
    </w:p>
    <w:p w14:paraId="074384CC"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Jos henkilöstön edustaja tulee sisällyttää Nimitystoimikunnan ehdotukseen yllämainitun mukaisesti, hänet valitaan Nimitystoimikunnan toimesta Yhtiön suomalaisen henkilöstöä edustavan elimen tai elimien esittämistä ehdokkaista Yhtiön henkilöstön edustuksesta tehdyn sopimuksen mukaisesti, edellyttäen että Nimitystoimikunnalle on ilmoitettu näistä ehdokkaista hyvissä ajoin ennen sen ehdotusten tekemistä ja että sille annetaan sellaiset tiedot ehdokkaista kuin Nimitystoimikunta voi kohtuudella edellyttää ehdotustensa valmistelussa.</w:t>
      </w:r>
    </w:p>
    <w:p w14:paraId="444A3191"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Nimitystoimikunta voi poiketa tässä kohdassa 6.2 esitetyistä vaatimuksista, mukaan lukien velvollisuudesta sisällyttää henkilöstön edustaja ehdotukseensa, tai pyytää että henkilöstöä edustava elin tai elimet esittävät uusia ehdokkaita, ainoastaan jos tälle on painavia syitä ottaen huomioon Yhtiön kokonaisvaltainen etu.</w:t>
      </w:r>
    </w:p>
    <w:p w14:paraId="6D5C6F00" w14:textId="77777777" w:rsidR="00613DC3" w:rsidRPr="00613DC3" w:rsidRDefault="00613DC3" w:rsidP="00613DC3">
      <w:pPr>
        <w:pStyle w:val="ListNumberIndent"/>
        <w:tabs>
          <w:tab w:val="clear" w:pos="1418"/>
          <w:tab w:val="num" w:pos="709"/>
        </w:tabs>
        <w:ind w:left="709" w:firstLine="0"/>
        <w:rPr>
          <w:rFonts w:ascii="Tahoma" w:hAnsi="Tahoma" w:cs="Tahoma"/>
        </w:rPr>
      </w:pPr>
      <w:r w:rsidRPr="00613DC3">
        <w:rPr>
          <w:rFonts w:ascii="Tahoma" w:hAnsi="Tahoma" w:cs="Tahoma"/>
        </w:rPr>
        <w:t>Nimitystoimikunnan ehdotus ei rajoita yhtiökokouksen valtaa tehdä lopullinen päätös kenen tahansa Nimitystoimikunnan ehdottaman ehdokkaan valinnasta tai valitsematta jättämisestä, mukaan lukien henkilöstön edustaja. Henkilöstön edustaja ei ole oikeutettu muille hallituksen jäsenille maksettavaan palkkioon, ellei yhtiökokous toisin päätä, mutta Nimitystoimikunnan tulee ehdottaa, että henkilöstön edustajan kulut korvataan samojen periaatteiden mukaan kuin muille hallituksen jäsenille.</w:t>
      </w:r>
    </w:p>
    <w:p w14:paraId="0E1B3F5A" w14:textId="77777777" w:rsidR="00613DC3" w:rsidRPr="00613DC3" w:rsidRDefault="00613DC3" w:rsidP="00613DC3">
      <w:pPr>
        <w:pStyle w:val="Heading1"/>
        <w:numPr>
          <w:ilvl w:val="0"/>
          <w:numId w:val="16"/>
        </w:numPr>
        <w:spacing w:after="240" w:line="240" w:lineRule="auto"/>
        <w:ind w:right="0"/>
        <w:jc w:val="both"/>
        <w:rPr>
          <w:rFonts w:ascii="Tahoma" w:hAnsi="Tahoma" w:cs="Tahoma"/>
          <w:sz w:val="22"/>
          <w:szCs w:val="22"/>
          <w:lang w:val="fi-FI"/>
        </w:rPr>
      </w:pPr>
      <w:r w:rsidRPr="00613DC3">
        <w:rPr>
          <w:rFonts w:ascii="Tahoma" w:hAnsi="Tahoma" w:cs="Tahoma"/>
          <w:sz w:val="22"/>
          <w:szCs w:val="22"/>
          <w:lang w:val="fi-FI"/>
        </w:rPr>
        <w:lastRenderedPageBreak/>
        <w:t>Hallituksen jäsenten pätevyys</w:t>
      </w:r>
    </w:p>
    <w:p w14:paraId="465A05FC"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Yhtiön hallituksella on oltava riittävä asiantuntemus, osaaminen ja kokemus Yhtiön toimialaan, teknologiaan ja teollisuudenalaan liittyvissä asioissa. Hallituksella on kokonaisuudessaan oltava riittävä osaaminen ja pätevyys erityisesti:</w:t>
      </w:r>
    </w:p>
    <w:p w14:paraId="06A4676C" w14:textId="77777777" w:rsidR="00613DC3" w:rsidRPr="00613DC3" w:rsidRDefault="00613DC3" w:rsidP="00613DC3">
      <w:pPr>
        <w:pStyle w:val="ListNumberIndent"/>
        <w:numPr>
          <w:ilvl w:val="3"/>
          <w:numId w:val="16"/>
        </w:numPr>
        <w:tabs>
          <w:tab w:val="num" w:pos="709"/>
        </w:tabs>
        <w:spacing w:after="0"/>
        <w:rPr>
          <w:rFonts w:ascii="Tahoma" w:hAnsi="Tahoma" w:cs="Tahoma"/>
        </w:rPr>
      </w:pPr>
      <w:r w:rsidRPr="00613DC3">
        <w:rPr>
          <w:rFonts w:ascii="Tahoma" w:hAnsi="Tahoma" w:cs="Tahoma"/>
        </w:rPr>
        <w:t>Yhtiön liiketoiminnasta, teknologiasta ja teollisuudenalasta;</w:t>
      </w:r>
    </w:p>
    <w:p w14:paraId="6C2049A9" w14:textId="77777777" w:rsidR="00613DC3" w:rsidRPr="00613DC3" w:rsidRDefault="00613DC3" w:rsidP="00613DC3">
      <w:pPr>
        <w:pStyle w:val="ListNumberIndent"/>
        <w:numPr>
          <w:ilvl w:val="3"/>
          <w:numId w:val="16"/>
        </w:numPr>
        <w:tabs>
          <w:tab w:val="num" w:pos="709"/>
        </w:tabs>
        <w:spacing w:after="0"/>
        <w:rPr>
          <w:rFonts w:ascii="Tahoma" w:hAnsi="Tahoma" w:cs="Tahoma"/>
        </w:rPr>
      </w:pPr>
      <w:r w:rsidRPr="00613DC3">
        <w:rPr>
          <w:rFonts w:ascii="Tahoma" w:hAnsi="Tahoma" w:cs="Tahoma"/>
        </w:rPr>
        <w:t>vastaavankokoisen julkisen osakeyhtiön johtamisesta;</w:t>
      </w:r>
    </w:p>
    <w:p w14:paraId="2DB6D7C6" w14:textId="77777777" w:rsidR="00613DC3" w:rsidRPr="00613DC3" w:rsidRDefault="00613DC3" w:rsidP="00613DC3">
      <w:pPr>
        <w:pStyle w:val="ListNumberIndent"/>
        <w:numPr>
          <w:ilvl w:val="3"/>
          <w:numId w:val="16"/>
        </w:numPr>
        <w:tabs>
          <w:tab w:val="num" w:pos="709"/>
        </w:tabs>
        <w:spacing w:after="0"/>
        <w:rPr>
          <w:rFonts w:ascii="Tahoma" w:hAnsi="Tahoma" w:cs="Tahoma"/>
        </w:rPr>
      </w:pPr>
      <w:r w:rsidRPr="00613DC3">
        <w:rPr>
          <w:rFonts w:ascii="Tahoma" w:hAnsi="Tahoma" w:cs="Tahoma"/>
        </w:rPr>
        <w:t>konserni- ja taloushallinnosta;</w:t>
      </w:r>
    </w:p>
    <w:p w14:paraId="5A8098AD" w14:textId="77777777" w:rsidR="00613DC3" w:rsidRPr="00613DC3" w:rsidRDefault="00613DC3" w:rsidP="00613DC3">
      <w:pPr>
        <w:pStyle w:val="ListNumberIndent"/>
        <w:numPr>
          <w:ilvl w:val="3"/>
          <w:numId w:val="16"/>
        </w:numPr>
        <w:tabs>
          <w:tab w:val="num" w:pos="709"/>
        </w:tabs>
        <w:spacing w:after="0"/>
        <w:rPr>
          <w:rFonts w:ascii="Tahoma" w:hAnsi="Tahoma" w:cs="Tahoma"/>
        </w:rPr>
      </w:pPr>
      <w:r w:rsidRPr="00613DC3">
        <w:rPr>
          <w:rFonts w:ascii="Tahoma" w:hAnsi="Tahoma" w:cs="Tahoma"/>
        </w:rPr>
        <w:t>strategiasta ja yritysjärjestelyistä;</w:t>
      </w:r>
    </w:p>
    <w:p w14:paraId="126E0535" w14:textId="77777777" w:rsidR="00613DC3" w:rsidRPr="00613DC3" w:rsidRDefault="00613DC3" w:rsidP="00613DC3">
      <w:pPr>
        <w:pStyle w:val="ListNumberIndent"/>
        <w:numPr>
          <w:ilvl w:val="3"/>
          <w:numId w:val="16"/>
        </w:numPr>
        <w:tabs>
          <w:tab w:val="num" w:pos="709"/>
        </w:tabs>
        <w:spacing w:after="0"/>
        <w:rPr>
          <w:rFonts w:ascii="Tahoma" w:hAnsi="Tahoma" w:cs="Tahoma"/>
        </w:rPr>
      </w:pPr>
      <w:r w:rsidRPr="00613DC3">
        <w:rPr>
          <w:rFonts w:ascii="Tahoma" w:hAnsi="Tahoma" w:cs="Tahoma"/>
        </w:rPr>
        <w:t>sisäisestä valvonnasta ja riskienhallinnasta; sekä</w:t>
      </w:r>
    </w:p>
    <w:p w14:paraId="21CA8C5C" w14:textId="77777777" w:rsidR="00613DC3" w:rsidRPr="00613DC3" w:rsidRDefault="00613DC3" w:rsidP="00613DC3">
      <w:pPr>
        <w:pStyle w:val="ListNumberIndent"/>
        <w:numPr>
          <w:ilvl w:val="3"/>
          <w:numId w:val="16"/>
        </w:numPr>
        <w:tabs>
          <w:tab w:val="num" w:pos="709"/>
        </w:tabs>
        <w:rPr>
          <w:rFonts w:ascii="Tahoma" w:hAnsi="Tahoma" w:cs="Tahoma"/>
        </w:rPr>
      </w:pPr>
      <w:r w:rsidRPr="00613DC3">
        <w:rPr>
          <w:rFonts w:ascii="Tahoma" w:hAnsi="Tahoma" w:cs="Tahoma"/>
        </w:rPr>
        <w:t>hyvästä hallintotavasta.</w:t>
      </w:r>
    </w:p>
    <w:p w14:paraId="7277718C" w14:textId="77777777" w:rsidR="00613DC3" w:rsidRPr="00613DC3" w:rsidRDefault="00613DC3" w:rsidP="00613DC3">
      <w:pPr>
        <w:pStyle w:val="ListNumberIndent"/>
        <w:tabs>
          <w:tab w:val="clear" w:pos="1418"/>
          <w:tab w:val="num" w:pos="709"/>
        </w:tabs>
        <w:ind w:left="709" w:firstLine="0"/>
        <w:rPr>
          <w:rFonts w:ascii="Tahoma" w:hAnsi="Tahoma" w:cs="Tahoma"/>
        </w:rPr>
      </w:pPr>
      <w:r w:rsidRPr="00613DC3">
        <w:rPr>
          <w:rFonts w:ascii="Tahoma" w:hAnsi="Tahoma" w:cs="Tahoma"/>
        </w:rPr>
        <w:t>Hallituksen jäsenten valinta perustuu ehdokkaiden taustaan ja kykyyn ymmärtää Konecranesin nykyisiä ja tulevia markkinoita, strategiaa, työntekijöitä ja asiakkaita, sekä hyvä ymmärrys taloushallinnosta ja liiketoimintadynamiikasta. Hallituksella on kollektiivina oltava kokemusta eri markkinoista, maantieteellisistä alueista sekä tärkeistä aiheista kuten digitalisaatiosta ja yritysvastuusta. Tärkeimmät kriteerit hallituksen jäsenehdokkaille ovat pätevyys, osaaminen, henkilökohtaiset ominaisuudet ja luotettavuus. Molempien sukupuolten on oltava edustettuna hallituksessa</w:t>
      </w:r>
    </w:p>
    <w:p w14:paraId="6B4BF6AD" w14:textId="77777777" w:rsidR="00613DC3" w:rsidRPr="00613DC3" w:rsidRDefault="00613DC3" w:rsidP="00613DC3">
      <w:pPr>
        <w:pStyle w:val="Heading1"/>
        <w:numPr>
          <w:ilvl w:val="0"/>
          <w:numId w:val="16"/>
        </w:numPr>
        <w:spacing w:after="240" w:line="240" w:lineRule="auto"/>
        <w:ind w:right="0"/>
        <w:jc w:val="both"/>
        <w:rPr>
          <w:rFonts w:ascii="Tahoma" w:hAnsi="Tahoma" w:cs="Tahoma"/>
          <w:sz w:val="22"/>
          <w:szCs w:val="22"/>
          <w:lang w:val="fi-FI"/>
        </w:rPr>
      </w:pPr>
      <w:r w:rsidRPr="00613DC3">
        <w:rPr>
          <w:rFonts w:ascii="Tahoma" w:hAnsi="Tahoma" w:cs="Tahoma"/>
          <w:sz w:val="22"/>
          <w:szCs w:val="22"/>
          <w:lang w:val="fi-FI"/>
        </w:rPr>
        <w:t>Ehdotukset yhtiökokoukselle</w:t>
      </w:r>
    </w:p>
    <w:p w14:paraId="5C433D90" w14:textId="77777777" w:rsidR="00613DC3" w:rsidRPr="00613DC3" w:rsidRDefault="00613DC3" w:rsidP="00613DC3">
      <w:pPr>
        <w:pStyle w:val="ListNumberIndent"/>
        <w:tabs>
          <w:tab w:val="clear" w:pos="1418"/>
          <w:tab w:val="num" w:pos="709"/>
        </w:tabs>
        <w:ind w:left="709" w:firstLine="0"/>
        <w:rPr>
          <w:rFonts w:ascii="Tahoma" w:hAnsi="Tahoma" w:cs="Tahoma"/>
        </w:rPr>
      </w:pPr>
      <w:r w:rsidRPr="00613DC3">
        <w:rPr>
          <w:rFonts w:ascii="Tahoma" w:hAnsi="Tahoma" w:cs="Tahoma"/>
        </w:rPr>
        <w:t xml:space="preserve">Nimitystoimikunnan tulee antaa ehdotuksensa Yhtiön hallitukselle viimeistään kutakin varsinaista yhtiökokousta edeltävän tammikuun 31. päivänä. Ylimääräistä yhtiökokousta koskevat ehdotukset on esitettävä tarpeen mukaan ja niin hyvissä ajoin, että Yhtiön on mahdollista noudattaa soveltuvia määräyksiä ja sääntelyä. Nimitystoimikunnan ehdotukset julkaistaan pörssitiedotteella ja sisällytetään yhtiökokouskutsuun. Nimitystoimikunta esittelee ehdotuksensa ja ehdotusten perustelut yhtiökokoukselle. </w:t>
      </w:r>
    </w:p>
    <w:p w14:paraId="1A9D9AC0" w14:textId="77777777" w:rsidR="00613DC3" w:rsidRPr="00613DC3" w:rsidRDefault="00613DC3" w:rsidP="00613DC3">
      <w:pPr>
        <w:pStyle w:val="Heading1"/>
        <w:numPr>
          <w:ilvl w:val="0"/>
          <w:numId w:val="16"/>
        </w:numPr>
        <w:spacing w:after="240" w:line="240" w:lineRule="auto"/>
        <w:ind w:right="0"/>
        <w:jc w:val="both"/>
        <w:rPr>
          <w:rFonts w:ascii="Tahoma" w:hAnsi="Tahoma" w:cs="Tahoma"/>
          <w:sz w:val="22"/>
          <w:szCs w:val="22"/>
          <w:lang w:val="fi-FI"/>
        </w:rPr>
      </w:pPr>
      <w:r w:rsidRPr="00613DC3">
        <w:rPr>
          <w:rFonts w:ascii="Tahoma" w:hAnsi="Tahoma" w:cs="Tahoma"/>
          <w:sz w:val="22"/>
          <w:szCs w:val="22"/>
          <w:lang w:val="fi-FI"/>
        </w:rPr>
        <w:t>Luottamuksellisuus</w:t>
      </w:r>
    </w:p>
    <w:p w14:paraId="2B467EA2" w14:textId="77777777" w:rsidR="00613DC3" w:rsidRPr="00613DC3" w:rsidRDefault="00613DC3" w:rsidP="00613DC3">
      <w:pPr>
        <w:pStyle w:val="ListNumberIndent"/>
        <w:tabs>
          <w:tab w:val="clear" w:pos="1418"/>
          <w:tab w:val="num" w:pos="709"/>
        </w:tabs>
        <w:ind w:left="709" w:firstLine="0"/>
        <w:rPr>
          <w:rFonts w:ascii="Tahoma" w:hAnsi="Tahoma" w:cs="Tahoma"/>
        </w:rPr>
      </w:pPr>
      <w:r w:rsidRPr="00613DC3">
        <w:rPr>
          <w:rFonts w:ascii="Tahoma" w:hAnsi="Tahoma" w:cs="Tahoma"/>
        </w:rPr>
        <w:t xml:space="preserve">Nimitystoimikunnan jäsenten sekä heidän edustamiensa osakkeenomistajien on pidettävä varsinaiselle yhtiökokoukselle esitettäviä ehdotuksia koskevat tiedot luottamuksellisina, kunnes Nimitystoimikunta on tehnyt lopulliset ehdotuksensa ja Yhtiö on julkistanut ne. Nimitystoimikunnan jäsenten ja heidän edustamiensa osakkeenomistajien salassapitovelvollisuus käsittää myös muun luottamuksellisen tiedon, joka on saatu Nimitystoimikunnan työskentelyn yhteydessä. Salassapitovelvollisuus pysyy voimassa kunkin tiedon osalta, kunnes Yhtiö on julkaissut sen. Nimitystoimikunnan puheenjohtaja tai hallituksen puheenjohtaja voi, katsoessaan sen tarpeelliseksi, esittää Yhtiön hallitukselle, että Yhtiön tulisi tehdä erilliset salassapitosopimukset osakkeenomistajien tai heidän Nimitystoimikuntaan nimittämiensä edustajien kanssa. </w:t>
      </w:r>
    </w:p>
    <w:p w14:paraId="4A74E03F" w14:textId="77777777" w:rsidR="00613DC3" w:rsidRPr="00613DC3" w:rsidRDefault="00613DC3" w:rsidP="00613DC3">
      <w:pPr>
        <w:pStyle w:val="Heading1"/>
        <w:numPr>
          <w:ilvl w:val="0"/>
          <w:numId w:val="16"/>
        </w:numPr>
        <w:spacing w:after="240" w:line="240" w:lineRule="auto"/>
        <w:ind w:right="0"/>
        <w:jc w:val="both"/>
        <w:rPr>
          <w:rFonts w:ascii="Tahoma" w:hAnsi="Tahoma" w:cs="Tahoma"/>
          <w:sz w:val="22"/>
          <w:szCs w:val="22"/>
          <w:lang w:val="fi-FI"/>
        </w:rPr>
      </w:pPr>
      <w:r w:rsidRPr="00613DC3">
        <w:rPr>
          <w:rFonts w:ascii="Tahoma" w:hAnsi="Tahoma" w:cs="Tahoma"/>
          <w:sz w:val="22"/>
          <w:szCs w:val="22"/>
          <w:lang w:val="fi-FI"/>
        </w:rPr>
        <w:t>Työjärjestyksen muuttaminen</w:t>
      </w:r>
    </w:p>
    <w:p w14:paraId="00CBB119"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Nimitystoimikunnan on tarkistettava tämän työjärjestyksen sisältö vuosittain ja Nimitystoimikunnan tai hallituksen on tarpeen mukaan ehdotettava mahdollisia muutoksia varsinaiselle yhtiökokoukselle sen hyväksyttäväksi. Nimitystoimikunta on valtuutettu tekemään tähän työjärjestykseen tarpeellisia teknisluonteisia päivityksiä.</w:t>
      </w:r>
    </w:p>
    <w:p w14:paraId="2155C840"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t xml:space="preserve">Mikäli tässä työjärjestyksessä mainittu määräpäivä ei osu arkipäivälle, tulkitaan työjärjestyksessä tarkoitettavan viimeistä sitä edeltävää arkipäivää. </w:t>
      </w:r>
    </w:p>
    <w:p w14:paraId="72F0139E" w14:textId="77777777" w:rsidR="00613DC3" w:rsidRPr="00613DC3" w:rsidRDefault="00613DC3" w:rsidP="00613DC3">
      <w:pPr>
        <w:pStyle w:val="BodyTextIndent"/>
        <w:tabs>
          <w:tab w:val="num" w:pos="709"/>
        </w:tabs>
        <w:ind w:left="709"/>
        <w:jc w:val="both"/>
        <w:rPr>
          <w:rFonts w:ascii="Tahoma" w:hAnsi="Tahoma" w:cs="Tahoma"/>
          <w:sz w:val="22"/>
          <w:szCs w:val="22"/>
        </w:rPr>
      </w:pPr>
      <w:r w:rsidRPr="00613DC3">
        <w:rPr>
          <w:rFonts w:ascii="Tahoma" w:hAnsi="Tahoma" w:cs="Tahoma"/>
          <w:sz w:val="22"/>
          <w:szCs w:val="22"/>
        </w:rPr>
        <w:lastRenderedPageBreak/>
        <w:t>Tämä työjärjestys on laadittu suomen-, ruotsin- ja englanninkielisenä.</w:t>
      </w:r>
    </w:p>
    <w:p w14:paraId="0F926CD9" w14:textId="2AD84BBE" w:rsidR="00B02235" w:rsidRDefault="00B02235" w:rsidP="001F1032">
      <w:pPr>
        <w:tabs>
          <w:tab w:val="left" w:pos="5954"/>
        </w:tabs>
        <w:spacing w:line="240" w:lineRule="auto"/>
        <w:rPr>
          <w:rStyle w:val="SubtleEmphasis"/>
          <w:rFonts w:ascii="Arial" w:hAnsi="Arial" w:cs="Arial"/>
          <w:b/>
          <w:i w:val="0"/>
          <w:iCs w:val="0"/>
          <w:color w:val="auto"/>
          <w:szCs w:val="22"/>
          <w:lang w:val="fi-FI"/>
        </w:rPr>
      </w:pPr>
    </w:p>
    <w:p w14:paraId="1FB17D60" w14:textId="4381CA28" w:rsidR="007E6099" w:rsidRPr="007E6099" w:rsidRDefault="00350CA4" w:rsidP="003A491D">
      <w:pPr>
        <w:tabs>
          <w:tab w:val="left" w:pos="5954"/>
        </w:tabs>
        <w:rPr>
          <w:rFonts w:ascii="Arial" w:hAnsi="Arial" w:cs="Arial"/>
          <w:lang w:val="fi-FI"/>
        </w:rPr>
      </w:pPr>
      <w:r w:rsidRPr="00651DC6">
        <w:rPr>
          <w:rStyle w:val="SubtleEmphasis"/>
          <w:rFonts w:ascii="Arial" w:hAnsi="Arial" w:cs="Arial"/>
          <w:b/>
          <w:i w:val="0"/>
          <w:iCs w:val="0"/>
          <w:color w:val="auto"/>
          <w:szCs w:val="22"/>
          <w:lang w:val="fi-FI"/>
        </w:rPr>
        <w:t>Hallituksen valtuuttaminen päättämään omien osakkeiden hankkimisesta ja/tai pantiksi ottamisesta</w:t>
      </w:r>
      <w:r w:rsidR="008B5D60" w:rsidRPr="00651DC6">
        <w:rPr>
          <w:rStyle w:val="SubtleEmphasis"/>
          <w:rFonts w:ascii="Arial" w:hAnsi="Arial" w:cs="Arial"/>
          <w:b/>
          <w:i w:val="0"/>
          <w:iCs w:val="0"/>
          <w:color w:val="auto"/>
          <w:szCs w:val="22"/>
          <w:lang w:val="fi-FI"/>
        </w:rPr>
        <w:br/>
      </w:r>
      <w:r w:rsidR="008B5D60" w:rsidRPr="00651DC6">
        <w:rPr>
          <w:rStyle w:val="SubtleEmphasis"/>
          <w:rFonts w:ascii="Arial" w:hAnsi="Arial" w:cs="Arial"/>
          <w:b/>
          <w:i w:val="0"/>
          <w:iCs w:val="0"/>
          <w:color w:val="auto"/>
          <w:szCs w:val="22"/>
          <w:lang w:val="fi-FI"/>
        </w:rPr>
        <w:br/>
      </w:r>
      <w:r w:rsidR="00C228B4" w:rsidRPr="007E6099">
        <w:rPr>
          <w:rStyle w:val="SubtleEmphasis"/>
          <w:rFonts w:ascii="Arial" w:hAnsi="Arial" w:cs="Arial"/>
          <w:i w:val="0"/>
          <w:iCs w:val="0"/>
          <w:color w:val="auto"/>
          <w:szCs w:val="22"/>
          <w:lang w:val="fi-FI"/>
        </w:rPr>
        <w:t xml:space="preserve">Yhtiökokous valtuutti </w:t>
      </w:r>
      <w:r w:rsidRPr="007E6099">
        <w:rPr>
          <w:rStyle w:val="SubtleEmphasis"/>
          <w:rFonts w:ascii="Arial" w:hAnsi="Arial" w:cs="Arial"/>
          <w:i w:val="0"/>
          <w:iCs w:val="0"/>
          <w:color w:val="auto"/>
          <w:szCs w:val="22"/>
          <w:lang w:val="fi-FI"/>
        </w:rPr>
        <w:t>hallitu</w:t>
      </w:r>
      <w:r w:rsidR="00C228B4" w:rsidRPr="007E6099">
        <w:rPr>
          <w:rStyle w:val="SubtleEmphasis"/>
          <w:rFonts w:ascii="Arial" w:hAnsi="Arial" w:cs="Arial"/>
          <w:i w:val="0"/>
          <w:iCs w:val="0"/>
          <w:color w:val="auto"/>
          <w:szCs w:val="22"/>
          <w:lang w:val="fi-FI"/>
        </w:rPr>
        <w:t>k</w:t>
      </w:r>
      <w:r w:rsidRPr="007E6099">
        <w:rPr>
          <w:rStyle w:val="SubtleEmphasis"/>
          <w:rFonts w:ascii="Arial" w:hAnsi="Arial" w:cs="Arial"/>
          <w:i w:val="0"/>
          <w:iCs w:val="0"/>
          <w:color w:val="auto"/>
          <w:szCs w:val="22"/>
          <w:lang w:val="fi-FI"/>
        </w:rPr>
        <w:t>s</w:t>
      </w:r>
      <w:r w:rsidR="00C228B4" w:rsidRPr="007E6099">
        <w:rPr>
          <w:rStyle w:val="SubtleEmphasis"/>
          <w:rFonts w:ascii="Arial" w:hAnsi="Arial" w:cs="Arial"/>
          <w:i w:val="0"/>
          <w:iCs w:val="0"/>
          <w:color w:val="auto"/>
          <w:szCs w:val="22"/>
          <w:lang w:val="fi-FI"/>
        </w:rPr>
        <w:t>en</w:t>
      </w:r>
      <w:r w:rsidRPr="007E6099">
        <w:rPr>
          <w:rStyle w:val="SubtleEmphasis"/>
          <w:rFonts w:ascii="Arial" w:hAnsi="Arial" w:cs="Arial"/>
          <w:i w:val="0"/>
          <w:iCs w:val="0"/>
          <w:color w:val="auto"/>
          <w:szCs w:val="22"/>
          <w:lang w:val="fi-FI"/>
        </w:rPr>
        <w:t xml:space="preserve"> </w:t>
      </w:r>
      <w:r w:rsidR="00DB4028" w:rsidRPr="007E6099">
        <w:rPr>
          <w:rStyle w:val="SubtleEmphasis"/>
          <w:rFonts w:ascii="Arial" w:hAnsi="Arial" w:cs="Arial"/>
          <w:i w:val="0"/>
          <w:iCs w:val="0"/>
          <w:color w:val="auto"/>
          <w:szCs w:val="22"/>
          <w:lang w:val="fi-FI"/>
        </w:rPr>
        <w:t xml:space="preserve">päättämään yhtiön omien osakkeiden hankkimisesta </w:t>
      </w:r>
      <w:r w:rsidR="007E6099" w:rsidRPr="007E6099">
        <w:rPr>
          <w:rFonts w:ascii="Arial" w:hAnsi="Arial" w:cs="Arial"/>
          <w:lang w:val="fi-FI"/>
        </w:rPr>
        <w:t>ja/tai pantiksi ottamisesta</w:t>
      </w:r>
      <w:r w:rsidR="0076227D">
        <w:rPr>
          <w:rFonts w:ascii="Arial" w:hAnsi="Arial" w:cs="Arial"/>
          <w:lang w:val="fi-FI"/>
        </w:rPr>
        <w:t xml:space="preserve"> seuraavasti</w:t>
      </w:r>
      <w:r w:rsidR="007E6099" w:rsidRPr="007E6099">
        <w:rPr>
          <w:rFonts w:ascii="Arial" w:hAnsi="Arial" w:cs="Arial"/>
          <w:lang w:val="fi-FI"/>
        </w:rPr>
        <w:t>.</w:t>
      </w:r>
    </w:p>
    <w:p w14:paraId="7723A08A" w14:textId="77777777" w:rsidR="007E6099" w:rsidRPr="007E6099" w:rsidRDefault="007E6099" w:rsidP="007E6099">
      <w:pPr>
        <w:ind w:left="652" w:right="679" w:hanging="652"/>
        <w:jc w:val="both"/>
        <w:rPr>
          <w:rFonts w:ascii="Arial" w:hAnsi="Arial" w:cs="Arial"/>
          <w:lang w:val="fi-FI"/>
        </w:rPr>
      </w:pPr>
    </w:p>
    <w:p w14:paraId="2CD2D814" w14:textId="123EE84C" w:rsidR="007E6099" w:rsidRPr="007E6099" w:rsidRDefault="007E6099" w:rsidP="007E6099">
      <w:pPr>
        <w:ind w:right="679"/>
        <w:jc w:val="both"/>
        <w:rPr>
          <w:rFonts w:ascii="Arial" w:hAnsi="Arial" w:cs="Arial"/>
          <w:lang w:val="fi-FI"/>
        </w:rPr>
      </w:pPr>
      <w:r w:rsidRPr="007E6099">
        <w:rPr>
          <w:rFonts w:ascii="Arial" w:hAnsi="Arial" w:cs="Arial"/>
          <w:lang w:val="fi-FI"/>
        </w:rPr>
        <w:t xml:space="preserve">Valtuutuksen nojalla hankittavien ja/tai pantiksi otettavien omien osakkeiden lukumäärä on yhteensä enintään </w:t>
      </w:r>
      <w:r w:rsidRPr="007E6099">
        <w:rPr>
          <w:rFonts w:ascii="Arial" w:hAnsi="Arial" w:cs="Arial"/>
          <w:szCs w:val="22"/>
          <w:lang w:val="fi-FI"/>
        </w:rPr>
        <w:t xml:space="preserve">7 500 000 </w:t>
      </w:r>
      <w:r w:rsidRPr="007E6099">
        <w:rPr>
          <w:rFonts w:ascii="Arial" w:hAnsi="Arial" w:cs="Arial"/>
          <w:lang w:val="fi-FI"/>
        </w:rPr>
        <w:t>osaketta, mikä vastaa noin 9,5 prosenttia yhtiön kaikista osakkeista. Yhtiö ei kuitenkaan voi yhdessä tytäryhteisöjensä kanssa omistaa ja/tai pitää panttina millään hetkellä enempää kuin 10 prosenttia kaikista yhtiön osakkeista. Omia osakkeita voidaan valtuutuksen nojalla hankkia vain vapaalla omalla pääomalla.</w:t>
      </w:r>
    </w:p>
    <w:p w14:paraId="2FB83A2E" w14:textId="77777777" w:rsidR="007E6099" w:rsidRPr="007E6099" w:rsidRDefault="007E6099" w:rsidP="007E6099">
      <w:pPr>
        <w:ind w:left="652" w:right="679" w:hanging="652"/>
        <w:jc w:val="both"/>
        <w:rPr>
          <w:rFonts w:ascii="Arial" w:hAnsi="Arial" w:cs="Arial"/>
          <w:lang w:val="fi-FI"/>
        </w:rPr>
      </w:pPr>
    </w:p>
    <w:p w14:paraId="499CB20E" w14:textId="655384BA" w:rsidR="007E6099" w:rsidRPr="007E6099" w:rsidRDefault="007E6099" w:rsidP="007E6099">
      <w:pPr>
        <w:ind w:right="679"/>
        <w:jc w:val="both"/>
        <w:rPr>
          <w:rFonts w:ascii="Arial" w:hAnsi="Arial" w:cs="Arial"/>
          <w:lang w:val="fi-FI"/>
        </w:rPr>
      </w:pPr>
      <w:r w:rsidRPr="007E6099">
        <w:rPr>
          <w:rFonts w:ascii="Arial" w:hAnsi="Arial" w:cs="Arial"/>
          <w:lang w:val="fi-FI"/>
        </w:rPr>
        <w:t>Omia osakkeita voidaan hankkia hankintapäivänä julkisessa kaupankäynnissä muodostuvaan hintaan tai muuten markkinoilla muodostuvaan hintaan.</w:t>
      </w:r>
    </w:p>
    <w:p w14:paraId="1B679788" w14:textId="77777777" w:rsidR="007E6099" w:rsidRPr="007E6099" w:rsidRDefault="007E6099" w:rsidP="007E6099">
      <w:pPr>
        <w:ind w:right="679"/>
        <w:jc w:val="both"/>
        <w:rPr>
          <w:rFonts w:ascii="Arial" w:hAnsi="Arial" w:cs="Arial"/>
          <w:lang w:val="fi-FI"/>
        </w:rPr>
      </w:pPr>
    </w:p>
    <w:p w14:paraId="702D0B14" w14:textId="3BE7F2D4" w:rsidR="007E6099" w:rsidRPr="007E6099" w:rsidRDefault="007E6099" w:rsidP="007E6099">
      <w:pPr>
        <w:ind w:right="679"/>
        <w:jc w:val="both"/>
        <w:rPr>
          <w:rFonts w:ascii="Arial" w:hAnsi="Arial" w:cs="Arial"/>
          <w:lang w:val="fi-FI"/>
        </w:rPr>
      </w:pPr>
      <w:r w:rsidRPr="007E6099">
        <w:rPr>
          <w:rFonts w:ascii="Arial" w:hAnsi="Arial" w:cs="Arial"/>
          <w:lang w:val="fi-FI"/>
        </w:rPr>
        <w:t>Hallitus päättää, miten osakkeita hankitaan ja/tai otetaan pantiksi. Hankinnassa voidaan käyttää muun ohessa johdannaisia. Omia osakkeita voidaan hankkia muuten kuin osakkeenomistajien omistamien osakkeiden suhteessa (suunnattu hankinta).</w:t>
      </w:r>
    </w:p>
    <w:p w14:paraId="0B0EF3D5" w14:textId="77777777" w:rsidR="007E6099" w:rsidRPr="007E6099" w:rsidRDefault="007E6099" w:rsidP="007E6099">
      <w:pPr>
        <w:ind w:right="679"/>
        <w:jc w:val="both"/>
        <w:rPr>
          <w:rFonts w:ascii="Arial" w:hAnsi="Arial" w:cs="Arial"/>
          <w:lang w:val="fi-FI"/>
        </w:rPr>
      </w:pPr>
    </w:p>
    <w:p w14:paraId="57ACE5B4" w14:textId="6D7E9829" w:rsidR="007E6099" w:rsidRPr="007E6099" w:rsidRDefault="007E6099" w:rsidP="007E6099">
      <w:pPr>
        <w:ind w:right="679"/>
        <w:jc w:val="both"/>
        <w:rPr>
          <w:rFonts w:ascii="Arial" w:hAnsi="Arial" w:cs="Arial"/>
          <w:lang w:val="fi-FI"/>
        </w:rPr>
      </w:pPr>
      <w:r w:rsidRPr="007E6099">
        <w:rPr>
          <w:rFonts w:ascii="Arial" w:hAnsi="Arial" w:cs="Arial"/>
          <w:lang w:val="fi-FI"/>
        </w:rPr>
        <w:t>Omia osakkeita voidaan hankkia ja/tai ottaa pantiksi mahdollisten yrityskauppojen yhteydessä toteutettavien osakeantien aiheuttaman laimennusvaikutuksen rajoittamiseksi, yhtiön pääomarakenteen kehittämiseksi, luovutettavaksi mahdollisten yrityskauppojen, investointien tai muiden yhtiön liiketoimintaan kuuluvien järjestelyjen rahoittamiseksi tai toteuttamiseksi, hallituksen palkkioiden suorittamiseksi, käytettäväksi yhtiön kannustinjärjestelmissä tai mitätöitäväksi edellyttäen, että hankinta ja/tai pantiksi ottaminen on yhtiön ja sen osakkeenomistajien etujen mukaista.</w:t>
      </w:r>
    </w:p>
    <w:p w14:paraId="1EF5147E" w14:textId="77777777" w:rsidR="007E6099" w:rsidRPr="007E6099" w:rsidRDefault="007E6099" w:rsidP="007E6099">
      <w:pPr>
        <w:ind w:right="679"/>
        <w:jc w:val="both"/>
        <w:rPr>
          <w:rFonts w:ascii="Arial" w:hAnsi="Arial" w:cs="Arial"/>
          <w:lang w:val="fi-FI"/>
        </w:rPr>
      </w:pPr>
    </w:p>
    <w:p w14:paraId="3B1FE10B" w14:textId="0CED9665" w:rsidR="007E6099" w:rsidRPr="007E6099" w:rsidRDefault="007E6099" w:rsidP="007E6099">
      <w:pPr>
        <w:ind w:right="679"/>
        <w:jc w:val="both"/>
        <w:rPr>
          <w:rFonts w:ascii="Arial" w:hAnsi="Arial" w:cs="Arial"/>
          <w:lang w:val="fi-FI"/>
        </w:rPr>
      </w:pPr>
      <w:r w:rsidRPr="007E6099">
        <w:rPr>
          <w:rFonts w:ascii="Arial" w:hAnsi="Arial" w:cs="Arial"/>
          <w:lang w:val="fi-FI"/>
        </w:rPr>
        <w:t>Valtuutus on voimassa seuraavan varsinaisen yhtiökokouksen päättymiseen saakka, kuitenkin enintään 28.9.2020 asti.</w:t>
      </w:r>
    </w:p>
    <w:p w14:paraId="74677A67" w14:textId="2589357B" w:rsidR="007E6099" w:rsidRPr="007E6099" w:rsidRDefault="00C228B4" w:rsidP="007E6099">
      <w:pPr>
        <w:tabs>
          <w:tab w:val="left" w:pos="5954"/>
        </w:tabs>
        <w:rPr>
          <w:rFonts w:ascii="Arial" w:hAnsi="Arial" w:cs="Arial"/>
          <w:szCs w:val="22"/>
          <w:lang w:val="fi-FI"/>
        </w:rPr>
      </w:pPr>
      <w:r w:rsidRPr="00651DC6">
        <w:rPr>
          <w:rStyle w:val="SubtleEmphasis"/>
          <w:rFonts w:ascii="Arial" w:hAnsi="Arial" w:cs="Arial"/>
          <w:b/>
          <w:i w:val="0"/>
          <w:iCs w:val="0"/>
          <w:color w:val="auto"/>
          <w:szCs w:val="22"/>
          <w:lang w:val="fi-FI"/>
        </w:rPr>
        <w:br/>
      </w:r>
      <w:r w:rsidR="00D46D2E" w:rsidRPr="00EA490B">
        <w:rPr>
          <w:rStyle w:val="Strong"/>
          <w:rFonts w:ascii="Arial" w:hAnsi="Arial" w:cs="Arial"/>
          <w:bCs w:val="0"/>
          <w:color w:val="333333"/>
          <w:lang w:val="fi-FI"/>
        </w:rPr>
        <w:t>Hallituksen valtuuttaminen päättämään osakeannista sekä osakkeisiin oikeuttavien erityisten oikeuksien antamisesta</w:t>
      </w:r>
      <w:r w:rsidR="008B5D60" w:rsidRPr="00651DC6">
        <w:rPr>
          <w:rStyle w:val="SubtleEmphasis"/>
          <w:rFonts w:ascii="Arial" w:hAnsi="Arial" w:cs="Arial"/>
          <w:b/>
          <w:i w:val="0"/>
          <w:iCs w:val="0"/>
          <w:color w:val="auto"/>
          <w:szCs w:val="22"/>
          <w:lang w:val="fi-FI"/>
        </w:rPr>
        <w:br/>
      </w:r>
      <w:r w:rsidR="008B5D60" w:rsidRPr="00651DC6">
        <w:rPr>
          <w:rStyle w:val="SubtleEmphasis"/>
          <w:rFonts w:ascii="Arial" w:hAnsi="Arial" w:cs="Arial"/>
          <w:b/>
          <w:i w:val="0"/>
          <w:iCs w:val="0"/>
          <w:color w:val="auto"/>
          <w:szCs w:val="22"/>
          <w:lang w:val="fi-FI"/>
        </w:rPr>
        <w:br/>
      </w:r>
      <w:r w:rsidRPr="00651DC6">
        <w:rPr>
          <w:rStyle w:val="SubtleEmphasis"/>
          <w:rFonts w:ascii="Arial" w:hAnsi="Arial" w:cs="Arial"/>
          <w:i w:val="0"/>
          <w:iCs w:val="0"/>
          <w:color w:val="auto"/>
          <w:szCs w:val="22"/>
          <w:lang w:val="fi-FI"/>
        </w:rPr>
        <w:t>Yhtiökokous valtuutti</w:t>
      </w:r>
      <w:r w:rsidR="00F81FFC" w:rsidRPr="00651DC6">
        <w:rPr>
          <w:rStyle w:val="SubtleEmphasis"/>
          <w:rFonts w:ascii="Arial" w:hAnsi="Arial" w:cs="Arial"/>
          <w:i w:val="0"/>
          <w:iCs w:val="0"/>
          <w:color w:val="auto"/>
          <w:szCs w:val="22"/>
          <w:lang w:val="fi-FI"/>
        </w:rPr>
        <w:t xml:space="preserve"> hallitu</w:t>
      </w:r>
      <w:r w:rsidRPr="00651DC6">
        <w:rPr>
          <w:rStyle w:val="SubtleEmphasis"/>
          <w:rFonts w:ascii="Arial" w:hAnsi="Arial" w:cs="Arial"/>
          <w:i w:val="0"/>
          <w:iCs w:val="0"/>
          <w:color w:val="auto"/>
          <w:szCs w:val="22"/>
          <w:lang w:val="fi-FI"/>
        </w:rPr>
        <w:t>k</w:t>
      </w:r>
      <w:r w:rsidR="00F81FFC" w:rsidRPr="00651DC6">
        <w:rPr>
          <w:rStyle w:val="SubtleEmphasis"/>
          <w:rFonts w:ascii="Arial" w:hAnsi="Arial" w:cs="Arial"/>
          <w:i w:val="0"/>
          <w:iCs w:val="0"/>
          <w:color w:val="auto"/>
          <w:szCs w:val="22"/>
          <w:lang w:val="fi-FI"/>
        </w:rPr>
        <w:t>s</w:t>
      </w:r>
      <w:r w:rsidRPr="00651DC6">
        <w:rPr>
          <w:rStyle w:val="SubtleEmphasis"/>
          <w:rFonts w:ascii="Arial" w:hAnsi="Arial" w:cs="Arial"/>
          <w:i w:val="0"/>
          <w:iCs w:val="0"/>
          <w:color w:val="auto"/>
          <w:szCs w:val="22"/>
          <w:lang w:val="fi-FI"/>
        </w:rPr>
        <w:t>en</w:t>
      </w:r>
      <w:r w:rsidR="00D46D2E">
        <w:rPr>
          <w:rStyle w:val="SubtleEmphasis"/>
          <w:rFonts w:ascii="Arial" w:hAnsi="Arial" w:cs="Arial"/>
          <w:i w:val="0"/>
          <w:iCs w:val="0"/>
          <w:color w:val="auto"/>
          <w:szCs w:val="22"/>
          <w:lang w:val="fi-FI"/>
        </w:rPr>
        <w:t xml:space="preserve"> </w:t>
      </w:r>
      <w:r w:rsidR="007E6099" w:rsidRPr="007E6099">
        <w:rPr>
          <w:rFonts w:ascii="Arial" w:hAnsi="Arial" w:cs="Arial"/>
          <w:szCs w:val="22"/>
          <w:lang w:val="fi-FI"/>
        </w:rPr>
        <w:t>päättämään osakeannista sekä osakeyhtiölain 10 luvun 1 §:ssä tarkoitettujen osakkeisiin oikeuttavien erityisten oikeuksien antamisesta.</w:t>
      </w:r>
    </w:p>
    <w:p w14:paraId="40CFA97E" w14:textId="77777777" w:rsidR="007E6099" w:rsidRPr="007E6099" w:rsidRDefault="007E6099" w:rsidP="007E6099">
      <w:pPr>
        <w:tabs>
          <w:tab w:val="left" w:pos="5954"/>
        </w:tabs>
        <w:rPr>
          <w:rFonts w:ascii="Arial" w:hAnsi="Arial" w:cs="Arial"/>
          <w:szCs w:val="22"/>
          <w:lang w:val="fi-FI"/>
        </w:rPr>
      </w:pPr>
    </w:p>
    <w:p w14:paraId="79A62C26" w14:textId="77777777" w:rsidR="007E6099" w:rsidRPr="007E6099" w:rsidRDefault="007E6099" w:rsidP="007E6099">
      <w:pPr>
        <w:tabs>
          <w:tab w:val="left" w:pos="5954"/>
        </w:tabs>
        <w:rPr>
          <w:rFonts w:ascii="Arial" w:hAnsi="Arial" w:cs="Arial"/>
          <w:szCs w:val="22"/>
          <w:lang w:val="fi-FI"/>
        </w:rPr>
      </w:pPr>
      <w:r w:rsidRPr="007E6099">
        <w:rPr>
          <w:rFonts w:ascii="Arial" w:hAnsi="Arial" w:cs="Arial"/>
          <w:szCs w:val="22"/>
          <w:lang w:val="fi-FI"/>
        </w:rPr>
        <w:t>Valtuutuksen nojalla annettavien osakkeiden lukumäärä voi olla yhteensä enintään 7 500 000 osaketta, mikä vastaa noin 9,5 prosenttia yhtiön kaikista osakkeista.</w:t>
      </w:r>
    </w:p>
    <w:p w14:paraId="76F8A4CA" w14:textId="77777777" w:rsidR="007E6099" w:rsidRPr="007E6099" w:rsidRDefault="007E6099" w:rsidP="007E6099">
      <w:pPr>
        <w:tabs>
          <w:tab w:val="left" w:pos="5954"/>
        </w:tabs>
        <w:rPr>
          <w:rFonts w:ascii="Arial" w:hAnsi="Arial" w:cs="Arial"/>
          <w:szCs w:val="22"/>
          <w:lang w:val="fi-FI"/>
        </w:rPr>
      </w:pPr>
    </w:p>
    <w:p w14:paraId="3BD6C44E" w14:textId="1BD584F4" w:rsidR="007E6099" w:rsidRPr="007E6099" w:rsidRDefault="007E6099" w:rsidP="00354A5D">
      <w:pPr>
        <w:tabs>
          <w:tab w:val="left" w:pos="5954"/>
        </w:tabs>
        <w:rPr>
          <w:rFonts w:ascii="Arial" w:hAnsi="Arial" w:cs="Arial"/>
          <w:szCs w:val="22"/>
          <w:lang w:val="fi-FI"/>
        </w:rPr>
      </w:pPr>
      <w:r w:rsidRPr="007E6099">
        <w:rPr>
          <w:rFonts w:ascii="Arial" w:hAnsi="Arial" w:cs="Arial"/>
          <w:szCs w:val="22"/>
          <w:lang w:val="fi-FI"/>
        </w:rPr>
        <w:t xml:space="preserve">Hallitus päättää kaikista osakeannin ja osakkeisiin oikeuttavien erityisten oikeuksien antamisen ehdoista. Osakeanti ja osakkeisiin oikeuttavien erityisten oikeuksien antaminen voi tapahtua osakkeenomistajien merkintäetuoikeudesta poiketen (suunnattu anti). Valtuutusta voi käyttää myös kannustinjärjestelmiä varten, ei kuitenkaan yhdessä </w:t>
      </w:r>
      <w:r w:rsidR="004953CF">
        <w:rPr>
          <w:rFonts w:ascii="Arial" w:hAnsi="Arial" w:cs="Arial"/>
          <w:szCs w:val="22"/>
          <w:lang w:val="fi-FI"/>
        </w:rPr>
        <w:t xml:space="preserve">seuraavan </w:t>
      </w:r>
      <w:r w:rsidRPr="007E6099">
        <w:rPr>
          <w:rFonts w:ascii="Arial" w:hAnsi="Arial" w:cs="Arial"/>
          <w:szCs w:val="22"/>
          <w:lang w:val="fi-FI"/>
        </w:rPr>
        <w:t xml:space="preserve">kohdan tarkoittaman valtuutuksen kanssa enempää kuin 1 350 000 osaketta. </w:t>
      </w:r>
    </w:p>
    <w:p w14:paraId="3935C5F8" w14:textId="77777777" w:rsidR="007E6099" w:rsidRPr="007E6099" w:rsidRDefault="007E6099" w:rsidP="007E6099">
      <w:pPr>
        <w:tabs>
          <w:tab w:val="left" w:pos="5954"/>
        </w:tabs>
        <w:rPr>
          <w:rFonts w:ascii="Arial" w:hAnsi="Arial" w:cs="Arial"/>
          <w:szCs w:val="22"/>
          <w:lang w:val="fi-FI"/>
        </w:rPr>
      </w:pPr>
    </w:p>
    <w:p w14:paraId="5EF88891" w14:textId="77777777" w:rsidR="007E6099" w:rsidRPr="007E6099" w:rsidRDefault="007E6099" w:rsidP="007E6099">
      <w:pPr>
        <w:tabs>
          <w:tab w:val="left" w:pos="5954"/>
        </w:tabs>
        <w:rPr>
          <w:rFonts w:ascii="Arial" w:hAnsi="Arial" w:cs="Arial"/>
          <w:szCs w:val="22"/>
          <w:lang w:val="fi-FI"/>
        </w:rPr>
      </w:pPr>
      <w:r w:rsidRPr="007E6099">
        <w:rPr>
          <w:rFonts w:ascii="Arial" w:hAnsi="Arial" w:cs="Arial"/>
          <w:szCs w:val="22"/>
          <w:lang w:val="fi-FI"/>
        </w:rPr>
        <w:t xml:space="preserve">Valtuutus on voimassa seuraavan varsinaisen yhtiökokouksen päättymiseen saakka, kuitenkin enintään 28.9.2020 asti. Valtuutus kannustinjärjestelmiä varten on kuitenkin voimassa 28.3.2024 asti. Tämä valtuutus kumoaa vuoden 2018 varsinaisen yhtiökokouksen antaman valtuutuksen kannustinjärjestelmiä varten. </w:t>
      </w:r>
    </w:p>
    <w:p w14:paraId="5662AEFD" w14:textId="23E1BADB" w:rsidR="008323E2" w:rsidRDefault="008323E2" w:rsidP="001F1032">
      <w:pPr>
        <w:tabs>
          <w:tab w:val="left" w:pos="5954"/>
        </w:tabs>
        <w:spacing w:line="240" w:lineRule="auto"/>
        <w:rPr>
          <w:rStyle w:val="SubtleEmphasis"/>
          <w:rFonts w:ascii="Arial" w:hAnsi="Arial" w:cs="Arial"/>
          <w:i w:val="0"/>
          <w:iCs w:val="0"/>
          <w:color w:val="auto"/>
          <w:szCs w:val="22"/>
          <w:lang w:val="fi-FI"/>
        </w:rPr>
      </w:pPr>
    </w:p>
    <w:p w14:paraId="5662AEFE" w14:textId="1FB2B399" w:rsidR="008323E2" w:rsidRDefault="008323E2" w:rsidP="001F1032">
      <w:pPr>
        <w:tabs>
          <w:tab w:val="left" w:pos="5954"/>
        </w:tabs>
        <w:spacing w:line="240" w:lineRule="auto"/>
        <w:rPr>
          <w:rFonts w:ascii="Arial" w:hAnsi="Arial" w:cs="Arial"/>
          <w:b/>
          <w:szCs w:val="22"/>
          <w:lang w:val="fi-FI"/>
        </w:rPr>
      </w:pPr>
      <w:r w:rsidRPr="00EA490B">
        <w:rPr>
          <w:rFonts w:ascii="Arial" w:hAnsi="Arial" w:cs="Arial"/>
          <w:b/>
          <w:szCs w:val="22"/>
          <w:lang w:val="fi-FI"/>
        </w:rPr>
        <w:t>Hallituksen valtuuttaminen päättämään yhtiölle hankittujen omien osakkeiden luovuttamisesta</w:t>
      </w:r>
    </w:p>
    <w:p w14:paraId="5662AEFF" w14:textId="77777777" w:rsidR="008323E2" w:rsidRDefault="008323E2" w:rsidP="001F1032">
      <w:pPr>
        <w:tabs>
          <w:tab w:val="left" w:pos="5954"/>
        </w:tabs>
        <w:spacing w:line="240" w:lineRule="auto"/>
        <w:rPr>
          <w:rFonts w:ascii="Arial" w:hAnsi="Arial" w:cs="Arial"/>
          <w:b/>
          <w:szCs w:val="22"/>
          <w:lang w:val="fi-FI"/>
        </w:rPr>
      </w:pPr>
    </w:p>
    <w:p w14:paraId="091BD870" w14:textId="695A533D" w:rsidR="007E6099" w:rsidRPr="007E6099" w:rsidRDefault="008323E2" w:rsidP="007E6099">
      <w:pPr>
        <w:tabs>
          <w:tab w:val="left" w:pos="5954"/>
        </w:tabs>
        <w:rPr>
          <w:rFonts w:ascii="Arial" w:hAnsi="Arial" w:cs="Arial"/>
          <w:szCs w:val="22"/>
          <w:lang w:val="fi-FI"/>
        </w:rPr>
      </w:pPr>
      <w:r w:rsidRPr="00651DC6">
        <w:rPr>
          <w:rStyle w:val="SubtleEmphasis"/>
          <w:rFonts w:ascii="Arial" w:hAnsi="Arial" w:cs="Arial"/>
          <w:i w:val="0"/>
          <w:iCs w:val="0"/>
          <w:color w:val="auto"/>
          <w:szCs w:val="22"/>
          <w:lang w:val="fi-FI"/>
        </w:rPr>
        <w:t>Yhtiökokous valtuutti hallituksen</w:t>
      </w:r>
      <w:r w:rsidRPr="00EA490B">
        <w:rPr>
          <w:rFonts w:ascii="Arial" w:hAnsi="Arial" w:cs="Arial"/>
          <w:szCs w:val="22"/>
          <w:lang w:val="fi-FI"/>
        </w:rPr>
        <w:t xml:space="preserve"> </w:t>
      </w:r>
      <w:r w:rsidR="007E6099" w:rsidRPr="007E6099">
        <w:rPr>
          <w:rFonts w:ascii="Tahoma" w:hAnsi="Tahoma" w:cs="Tahoma"/>
          <w:lang w:val="fi-FI"/>
        </w:rPr>
        <w:t>päättämään yhtiölle hankittujen omien osakkeiden luovuttamisesta.</w:t>
      </w:r>
    </w:p>
    <w:p w14:paraId="0C4AF690" w14:textId="77777777" w:rsidR="007E6099" w:rsidRPr="007E6099" w:rsidRDefault="007E6099" w:rsidP="007E6099">
      <w:pPr>
        <w:ind w:left="652" w:right="679" w:hanging="652"/>
        <w:jc w:val="both"/>
        <w:rPr>
          <w:rFonts w:ascii="Tahoma" w:hAnsi="Tahoma" w:cs="Tahoma"/>
          <w:lang w:val="fi-FI"/>
        </w:rPr>
      </w:pPr>
    </w:p>
    <w:p w14:paraId="32E1BCCB" w14:textId="53194905" w:rsidR="007E6099" w:rsidRPr="007E6099" w:rsidRDefault="007E6099" w:rsidP="007E6099">
      <w:pPr>
        <w:ind w:right="679"/>
        <w:jc w:val="both"/>
        <w:rPr>
          <w:rFonts w:ascii="Tahoma" w:hAnsi="Tahoma" w:cs="Tahoma"/>
          <w:lang w:val="fi-FI"/>
        </w:rPr>
      </w:pPr>
      <w:r w:rsidRPr="007E6099">
        <w:rPr>
          <w:rFonts w:ascii="Tahoma" w:hAnsi="Tahoma" w:cs="Tahoma"/>
          <w:lang w:val="fi-FI"/>
        </w:rPr>
        <w:t>Valtuutuksen kohteena on enintään 7 500 000</w:t>
      </w:r>
      <w:r w:rsidRPr="007E6099">
        <w:rPr>
          <w:rFonts w:ascii="Tahoma" w:hAnsi="Tahoma" w:cs="Tahoma"/>
          <w:szCs w:val="22"/>
          <w:lang w:val="fi-FI"/>
        </w:rPr>
        <w:t xml:space="preserve"> </w:t>
      </w:r>
      <w:r w:rsidRPr="007E6099">
        <w:rPr>
          <w:rFonts w:ascii="Tahoma" w:hAnsi="Tahoma" w:cs="Tahoma"/>
          <w:lang w:val="fi-FI"/>
        </w:rPr>
        <w:t>osaketta, mikä vastaa noin 9,5 prosenttia yhtiön kaikista osakkeista.</w:t>
      </w:r>
    </w:p>
    <w:p w14:paraId="1914805B" w14:textId="77777777" w:rsidR="007E6099" w:rsidRPr="007E6099" w:rsidRDefault="007E6099" w:rsidP="007E6099">
      <w:pPr>
        <w:ind w:right="679"/>
        <w:jc w:val="both"/>
        <w:rPr>
          <w:rFonts w:ascii="Tahoma" w:hAnsi="Tahoma" w:cs="Tahoma"/>
          <w:lang w:val="fi-FI"/>
        </w:rPr>
      </w:pPr>
    </w:p>
    <w:p w14:paraId="428CD6E9" w14:textId="493839C1" w:rsidR="007E6099" w:rsidRPr="007E6099" w:rsidRDefault="007E6099" w:rsidP="007E6099">
      <w:pPr>
        <w:ind w:right="679"/>
        <w:jc w:val="both"/>
        <w:rPr>
          <w:rFonts w:ascii="Tahoma" w:hAnsi="Tahoma" w:cs="Tahoma"/>
          <w:lang w:val="fi-FI"/>
        </w:rPr>
      </w:pPr>
      <w:r w:rsidRPr="007E6099">
        <w:rPr>
          <w:rFonts w:ascii="Tahoma" w:hAnsi="Tahoma" w:cs="Tahoma"/>
          <w:lang w:val="fi-FI"/>
        </w:rPr>
        <w:t xml:space="preserve">Hallitus päättää kaikista omien osakkeiden luovuttamisen ehdoista. Omien osakkeiden luovuttaminen voi tapahtua osakkeenomistajien merkintäetuoikeudesta poiketen (suunnattu anti). Hallitus voi käyttää valtuutusta myös osakeyhtiölain 10 luvussa tarkoitettujen omia osakkeita koskevien erityisten oikeuksien antamiseen. Valtuutusta voidaan käyttää myös kannustinjärjestelmiä varten, ei kuitenkaan yhdessä </w:t>
      </w:r>
      <w:r w:rsidR="008E476B">
        <w:rPr>
          <w:rFonts w:ascii="Tahoma" w:hAnsi="Tahoma" w:cs="Tahoma"/>
          <w:lang w:val="fi-FI"/>
        </w:rPr>
        <w:t xml:space="preserve">edellisen </w:t>
      </w:r>
      <w:r w:rsidRPr="007E6099">
        <w:rPr>
          <w:rFonts w:ascii="Tahoma" w:hAnsi="Tahoma" w:cs="Tahoma"/>
          <w:lang w:val="fi-FI"/>
        </w:rPr>
        <w:t>kohdan tarkoittaman valtuutuksen kanssa enempää kuin 1 350 000 osaketta.</w:t>
      </w:r>
    </w:p>
    <w:p w14:paraId="301D76CC" w14:textId="77777777" w:rsidR="007E6099" w:rsidRPr="007E6099" w:rsidRDefault="007E6099" w:rsidP="007E6099">
      <w:pPr>
        <w:ind w:right="679"/>
        <w:jc w:val="both"/>
        <w:rPr>
          <w:rFonts w:ascii="Tahoma" w:hAnsi="Tahoma" w:cs="Tahoma"/>
          <w:lang w:val="fi-FI"/>
        </w:rPr>
      </w:pPr>
    </w:p>
    <w:p w14:paraId="756334E4" w14:textId="77777777" w:rsidR="007E6099" w:rsidRPr="007E6099" w:rsidRDefault="007E6099" w:rsidP="007E6099">
      <w:pPr>
        <w:ind w:right="679"/>
        <w:jc w:val="both"/>
        <w:rPr>
          <w:rFonts w:ascii="Tahoma" w:hAnsi="Tahoma" w:cs="Tahoma"/>
          <w:lang w:val="fi-FI"/>
        </w:rPr>
      </w:pPr>
      <w:r w:rsidRPr="007E6099">
        <w:rPr>
          <w:rFonts w:ascii="Tahoma" w:hAnsi="Tahoma" w:cs="Tahoma"/>
          <w:lang w:val="fi-FI"/>
        </w:rPr>
        <w:t xml:space="preserve">Valtuutus on voimassa seuraavan varsinaisen yhtiökokouksen päättymiseen saakka, kuitenkin enintään 28.9.2020 asti. Valtuutus kannustinjärjestelmiä varten on kuitenkin voimassa 28.3.2024 asti. Tämä valtuutus kumoaa vuoden 2018 varsinaisen yhtiökokouksen antaman valtuutuksen kannustinjärjestelmiä varten. </w:t>
      </w:r>
    </w:p>
    <w:p w14:paraId="62B1FB67" w14:textId="1019BE64" w:rsidR="007E6099" w:rsidRPr="007E6099" w:rsidRDefault="00E15928" w:rsidP="007E6099">
      <w:pPr>
        <w:tabs>
          <w:tab w:val="left" w:pos="5954"/>
        </w:tabs>
        <w:rPr>
          <w:rFonts w:ascii="Arial" w:hAnsi="Arial" w:cs="Arial"/>
          <w:szCs w:val="22"/>
          <w:lang w:val="fi-FI"/>
        </w:rPr>
      </w:pPr>
      <w:r w:rsidRPr="00651DC6">
        <w:rPr>
          <w:rStyle w:val="SubtleEmphasis"/>
          <w:rFonts w:ascii="Arial" w:hAnsi="Arial" w:cs="Arial"/>
          <w:b/>
          <w:i w:val="0"/>
          <w:iCs w:val="0"/>
          <w:color w:val="auto"/>
          <w:szCs w:val="22"/>
          <w:lang w:val="fi-FI"/>
        </w:rPr>
        <w:br/>
      </w:r>
      <w:r w:rsidR="00D46D2E" w:rsidRPr="00D46D2E">
        <w:rPr>
          <w:rStyle w:val="SubtleEmphasis"/>
          <w:rFonts w:ascii="Arial" w:hAnsi="Arial" w:cs="Arial"/>
          <w:b/>
          <w:i w:val="0"/>
          <w:iCs w:val="0"/>
          <w:color w:val="auto"/>
          <w:szCs w:val="22"/>
          <w:lang w:val="fi-FI"/>
        </w:rPr>
        <w:t xml:space="preserve">Hallituksen valtuuttaminen päättämään maksuttomasta suunnatusta osakkeiden osakeannista </w:t>
      </w:r>
      <w:r w:rsidR="00CE0881">
        <w:rPr>
          <w:rStyle w:val="SubtleEmphasis"/>
          <w:rFonts w:ascii="Arial" w:hAnsi="Arial" w:cs="Arial"/>
          <w:b/>
          <w:i w:val="0"/>
          <w:iCs w:val="0"/>
          <w:color w:val="auto"/>
          <w:szCs w:val="22"/>
          <w:lang w:val="fi-FI"/>
        </w:rPr>
        <w:t xml:space="preserve">henkilöstön </w:t>
      </w:r>
      <w:r w:rsidR="00D46D2E" w:rsidRPr="00D46D2E">
        <w:rPr>
          <w:rStyle w:val="SubtleEmphasis"/>
          <w:rFonts w:ascii="Arial" w:hAnsi="Arial" w:cs="Arial"/>
          <w:b/>
          <w:i w:val="0"/>
          <w:iCs w:val="0"/>
          <w:color w:val="auto"/>
          <w:szCs w:val="22"/>
          <w:lang w:val="fi-FI"/>
        </w:rPr>
        <w:t>osakesäästöohjelmaa varten</w:t>
      </w:r>
      <w:r w:rsidR="00D46D2E">
        <w:rPr>
          <w:rStyle w:val="SubtleEmphasis"/>
          <w:rFonts w:ascii="Arial" w:hAnsi="Arial" w:cs="Arial"/>
          <w:b/>
          <w:i w:val="0"/>
          <w:iCs w:val="0"/>
          <w:color w:val="auto"/>
          <w:szCs w:val="22"/>
          <w:lang w:val="fi-FI"/>
        </w:rPr>
        <w:br/>
      </w:r>
      <w:r w:rsidR="00D46D2E">
        <w:rPr>
          <w:rStyle w:val="SubtleEmphasis"/>
          <w:rFonts w:ascii="Arial" w:hAnsi="Arial" w:cs="Arial"/>
          <w:b/>
          <w:i w:val="0"/>
          <w:iCs w:val="0"/>
          <w:color w:val="auto"/>
          <w:szCs w:val="22"/>
          <w:lang w:val="fi-FI"/>
        </w:rPr>
        <w:br/>
      </w:r>
      <w:r w:rsidR="00D46D2E" w:rsidRPr="00651DC6">
        <w:rPr>
          <w:rStyle w:val="SubtleEmphasis"/>
          <w:rFonts w:ascii="Arial" w:hAnsi="Arial" w:cs="Arial"/>
          <w:i w:val="0"/>
          <w:iCs w:val="0"/>
          <w:color w:val="auto"/>
          <w:szCs w:val="22"/>
          <w:lang w:val="fi-FI"/>
        </w:rPr>
        <w:t>Yhtiökokous valtuutti hallituksen</w:t>
      </w:r>
      <w:r w:rsidR="00D46D2E">
        <w:rPr>
          <w:rStyle w:val="SubtleEmphasis"/>
          <w:rFonts w:ascii="Arial" w:hAnsi="Arial" w:cs="Arial"/>
          <w:i w:val="0"/>
          <w:iCs w:val="0"/>
          <w:color w:val="auto"/>
          <w:szCs w:val="22"/>
          <w:lang w:val="fi-FI"/>
        </w:rPr>
        <w:t xml:space="preserve"> </w:t>
      </w:r>
      <w:r w:rsidR="007E6099" w:rsidRPr="007E6099">
        <w:rPr>
          <w:rFonts w:ascii="Arial" w:hAnsi="Arial" w:cs="Arial"/>
          <w:iCs/>
          <w:szCs w:val="22"/>
          <w:lang w:val="fi-FI"/>
        </w:rPr>
        <w:t>päättämään maksuttomasta suunnatusta osakeannista, joka tarvitaan yhtiökokouksen 2012 päättämän osakesäästöohjelman jatkamiseksi.</w:t>
      </w:r>
    </w:p>
    <w:p w14:paraId="61069B06" w14:textId="77777777" w:rsidR="007E6099" w:rsidRPr="007E6099" w:rsidRDefault="007E6099" w:rsidP="007E6099">
      <w:pPr>
        <w:tabs>
          <w:tab w:val="left" w:pos="5954"/>
        </w:tabs>
        <w:rPr>
          <w:rFonts w:ascii="Arial" w:hAnsi="Arial" w:cs="Arial"/>
          <w:szCs w:val="22"/>
          <w:lang w:val="fi-FI"/>
        </w:rPr>
      </w:pPr>
    </w:p>
    <w:p w14:paraId="557611A4" w14:textId="781A0351" w:rsidR="007E6099" w:rsidRPr="007E6099" w:rsidRDefault="008C594B" w:rsidP="007E6099">
      <w:pPr>
        <w:tabs>
          <w:tab w:val="left" w:pos="5954"/>
        </w:tabs>
        <w:rPr>
          <w:rFonts w:ascii="Arial" w:hAnsi="Arial" w:cs="Arial"/>
          <w:iCs/>
          <w:szCs w:val="22"/>
          <w:lang w:val="fi-FI"/>
        </w:rPr>
      </w:pPr>
      <w:r>
        <w:rPr>
          <w:rFonts w:ascii="Arial" w:hAnsi="Arial" w:cs="Arial"/>
          <w:iCs/>
          <w:szCs w:val="22"/>
          <w:lang w:val="fi-FI"/>
        </w:rPr>
        <w:t xml:space="preserve">Yhtiökokous valtuutti </w:t>
      </w:r>
      <w:r w:rsidR="007E6099" w:rsidRPr="007E6099">
        <w:rPr>
          <w:rFonts w:ascii="Arial" w:hAnsi="Arial" w:cs="Arial"/>
          <w:iCs/>
          <w:szCs w:val="22"/>
          <w:lang w:val="fi-FI"/>
        </w:rPr>
        <w:t xml:space="preserve">hallituksen päättämään uusien osakkeiden antamisesta tai yhtiön hallussa olevien osakkeiden luovuttamisesta niille osakesäästöohjelmaan kuuluville henkilöille, jotka ohjelman ehtojen mukaisesti ovat oikeutettuja saamaan maksuttomia osakkeita, sekä päättämään maksuttomasta osakeannista myös yhtiölle itselleen. </w:t>
      </w:r>
      <w:r w:rsidR="00167856">
        <w:rPr>
          <w:rFonts w:ascii="Arial" w:hAnsi="Arial" w:cs="Arial"/>
          <w:iCs/>
          <w:szCs w:val="22"/>
          <w:lang w:val="fi-FI"/>
        </w:rPr>
        <w:t>V</w:t>
      </w:r>
      <w:r w:rsidR="00167856" w:rsidRPr="007E6099">
        <w:rPr>
          <w:rFonts w:ascii="Arial" w:hAnsi="Arial" w:cs="Arial"/>
          <w:iCs/>
          <w:szCs w:val="22"/>
          <w:lang w:val="fi-FI"/>
        </w:rPr>
        <w:t xml:space="preserve">altuutus </w:t>
      </w:r>
      <w:r w:rsidR="007E6099" w:rsidRPr="007E6099">
        <w:rPr>
          <w:rFonts w:ascii="Arial" w:hAnsi="Arial" w:cs="Arial"/>
          <w:iCs/>
          <w:szCs w:val="22"/>
          <w:lang w:val="fi-FI"/>
        </w:rPr>
        <w:t>sisältää oikeuden luovuttaa osakesäästöohjelmassa yhtiön hallussa nyt olevia, käyttötarkoitukseltaan muihin kuin kannustinjärjestelmiin aiemmin rajattuja omia osakkeita. Annettavien uusien osakkeiden tai luovutettavien yhtiön hallussa olevien omien osakkeiden määrä</w:t>
      </w:r>
      <w:r w:rsidR="00533EC0">
        <w:rPr>
          <w:rFonts w:ascii="Arial" w:hAnsi="Arial" w:cs="Arial"/>
          <w:iCs/>
          <w:szCs w:val="22"/>
          <w:lang w:val="fi-FI"/>
        </w:rPr>
        <w:t xml:space="preserve"> voi olla yhteensä enintään 500 </w:t>
      </w:r>
      <w:r w:rsidR="007E6099" w:rsidRPr="007E6099">
        <w:rPr>
          <w:rFonts w:ascii="Arial" w:hAnsi="Arial" w:cs="Arial"/>
          <w:iCs/>
          <w:szCs w:val="22"/>
          <w:lang w:val="fi-FI"/>
        </w:rPr>
        <w:t>000</w:t>
      </w:r>
      <w:r w:rsidR="007E6099" w:rsidRPr="007E6099">
        <w:rPr>
          <w:rFonts w:ascii="Arial" w:hAnsi="Arial" w:cs="Arial"/>
          <w:szCs w:val="22"/>
          <w:lang w:val="fi-FI"/>
        </w:rPr>
        <w:t xml:space="preserve"> </w:t>
      </w:r>
      <w:r w:rsidR="007E6099" w:rsidRPr="007E6099">
        <w:rPr>
          <w:rFonts w:ascii="Arial" w:hAnsi="Arial" w:cs="Arial"/>
          <w:iCs/>
          <w:szCs w:val="22"/>
          <w:lang w:val="fi-FI"/>
        </w:rPr>
        <w:t>osaketta, mikä vastaa noin 0,6 prosenttia yhtiön kaikista osakkeista.</w:t>
      </w:r>
    </w:p>
    <w:p w14:paraId="2D8F9FF7" w14:textId="77777777" w:rsidR="007E6099" w:rsidRPr="007E6099" w:rsidRDefault="007E6099" w:rsidP="007E6099">
      <w:pPr>
        <w:tabs>
          <w:tab w:val="left" w:pos="5954"/>
        </w:tabs>
        <w:rPr>
          <w:rFonts w:ascii="Arial" w:hAnsi="Arial" w:cs="Arial"/>
          <w:iCs/>
          <w:szCs w:val="22"/>
          <w:lang w:val="fi-FI"/>
        </w:rPr>
      </w:pPr>
    </w:p>
    <w:p w14:paraId="4DC565CB" w14:textId="77777777" w:rsidR="007E6099" w:rsidRPr="007E6099" w:rsidRDefault="007E6099" w:rsidP="007E6099">
      <w:pPr>
        <w:tabs>
          <w:tab w:val="left" w:pos="5954"/>
        </w:tabs>
        <w:rPr>
          <w:rFonts w:ascii="Arial" w:hAnsi="Arial" w:cs="Arial"/>
          <w:iCs/>
          <w:szCs w:val="22"/>
          <w:lang w:val="fi-FI"/>
        </w:rPr>
      </w:pPr>
    </w:p>
    <w:p w14:paraId="28DF06C5" w14:textId="5E289B16" w:rsidR="007E6099" w:rsidRPr="007E6099" w:rsidRDefault="007E6099" w:rsidP="007E6099">
      <w:pPr>
        <w:tabs>
          <w:tab w:val="left" w:pos="5954"/>
        </w:tabs>
        <w:rPr>
          <w:rFonts w:ascii="Arial" w:hAnsi="Arial" w:cs="Arial"/>
          <w:iCs/>
          <w:szCs w:val="22"/>
          <w:lang w:val="fi-FI"/>
        </w:rPr>
      </w:pPr>
      <w:r w:rsidRPr="007E6099">
        <w:rPr>
          <w:rFonts w:ascii="Arial" w:hAnsi="Arial" w:cs="Arial"/>
          <w:iCs/>
          <w:szCs w:val="22"/>
          <w:lang w:val="fi-FI"/>
        </w:rPr>
        <w:t xml:space="preserve">Hallitus on oikeutettu päättämään muista osakeantiin liittyvistä seikoista. Osakeantia koskeva valtuutus on voimassa 28.3.2024 saakka. Tämä valtuutus on voimassa </w:t>
      </w:r>
      <w:r w:rsidR="002C0E0D">
        <w:rPr>
          <w:rFonts w:ascii="Arial" w:hAnsi="Arial" w:cs="Arial"/>
          <w:iCs/>
          <w:szCs w:val="22"/>
          <w:lang w:val="fi-FI"/>
        </w:rPr>
        <w:t xml:space="preserve">edellisissä </w:t>
      </w:r>
      <w:r w:rsidRPr="007E6099">
        <w:rPr>
          <w:rFonts w:ascii="Arial" w:hAnsi="Arial" w:cs="Arial"/>
          <w:iCs/>
          <w:szCs w:val="22"/>
          <w:lang w:val="fi-FI"/>
        </w:rPr>
        <w:t>kohdissa mainittujen valtuutusten lisäksi. Tämä valtuutus korvaa vuoden 2018 varsinaisen yhtiökokouksen osakesäästöohjelmaa varten antaman osakeanti</w:t>
      </w:r>
      <w:r w:rsidRPr="007E6099">
        <w:rPr>
          <w:rFonts w:ascii="Arial" w:hAnsi="Arial" w:cs="Arial"/>
          <w:iCs/>
          <w:szCs w:val="22"/>
          <w:lang w:val="fi-FI"/>
        </w:rPr>
        <w:softHyphen/>
        <w:t>valtuutuksen.</w:t>
      </w:r>
    </w:p>
    <w:p w14:paraId="6B6744E3" w14:textId="77777777" w:rsidR="007E6099" w:rsidRDefault="007E6099" w:rsidP="008F1874">
      <w:pPr>
        <w:tabs>
          <w:tab w:val="left" w:pos="5954"/>
        </w:tabs>
        <w:rPr>
          <w:rStyle w:val="SubtleEmphasis"/>
          <w:rFonts w:ascii="Arial" w:hAnsi="Arial" w:cs="Arial"/>
          <w:i w:val="0"/>
          <w:iCs w:val="0"/>
          <w:color w:val="auto"/>
          <w:szCs w:val="22"/>
          <w:lang w:val="fi-FI"/>
        </w:rPr>
      </w:pPr>
    </w:p>
    <w:p w14:paraId="387F5025" w14:textId="5791A92C" w:rsidR="007E6099" w:rsidRDefault="007E6099" w:rsidP="007E6099">
      <w:pPr>
        <w:tabs>
          <w:tab w:val="left" w:pos="5954"/>
        </w:tabs>
        <w:spacing w:line="240" w:lineRule="auto"/>
        <w:rPr>
          <w:rFonts w:ascii="Arial" w:hAnsi="Arial" w:cs="Arial"/>
          <w:b/>
          <w:szCs w:val="22"/>
          <w:lang w:val="fi-FI"/>
        </w:rPr>
      </w:pPr>
      <w:r w:rsidRPr="00EA490B">
        <w:rPr>
          <w:rFonts w:ascii="Arial" w:hAnsi="Arial" w:cs="Arial"/>
          <w:b/>
          <w:szCs w:val="22"/>
          <w:lang w:val="fi-FI"/>
        </w:rPr>
        <w:t xml:space="preserve">Hallituksen valtuuttaminen päättämään </w:t>
      </w:r>
      <w:r>
        <w:rPr>
          <w:rFonts w:ascii="Arial" w:hAnsi="Arial" w:cs="Arial"/>
          <w:b/>
          <w:szCs w:val="22"/>
          <w:lang w:val="fi-FI"/>
        </w:rPr>
        <w:t>lahjoitusten antamisesta</w:t>
      </w:r>
    </w:p>
    <w:p w14:paraId="1DF53A2F" w14:textId="77777777" w:rsidR="007E6099" w:rsidRDefault="007E6099" w:rsidP="008F1874">
      <w:pPr>
        <w:rPr>
          <w:rStyle w:val="SubtleEmphasis"/>
          <w:rFonts w:ascii="Arial" w:hAnsi="Arial" w:cs="Arial"/>
          <w:i w:val="0"/>
          <w:iCs w:val="0"/>
          <w:color w:val="auto"/>
          <w:szCs w:val="22"/>
          <w:lang w:val="fi-FI"/>
        </w:rPr>
      </w:pPr>
    </w:p>
    <w:p w14:paraId="6804E073" w14:textId="519C44E8" w:rsidR="007E6099" w:rsidRPr="007E6099" w:rsidRDefault="007E6099" w:rsidP="007E6099">
      <w:pPr>
        <w:rPr>
          <w:rFonts w:ascii="Arial" w:hAnsi="Arial" w:cs="Arial"/>
          <w:iCs/>
          <w:szCs w:val="22"/>
          <w:lang w:val="fi-FI"/>
        </w:rPr>
      </w:pPr>
      <w:r w:rsidRPr="00651DC6">
        <w:rPr>
          <w:rStyle w:val="SubtleEmphasis"/>
          <w:rFonts w:ascii="Arial" w:hAnsi="Arial" w:cs="Arial"/>
          <w:i w:val="0"/>
          <w:iCs w:val="0"/>
          <w:color w:val="auto"/>
          <w:szCs w:val="22"/>
          <w:lang w:val="fi-FI"/>
        </w:rPr>
        <w:t>Yhtiökokous valtuutti hallituksen</w:t>
      </w:r>
      <w:r>
        <w:rPr>
          <w:rStyle w:val="SubtleEmphasis"/>
          <w:rFonts w:ascii="Arial" w:hAnsi="Arial" w:cs="Arial"/>
          <w:i w:val="0"/>
          <w:iCs w:val="0"/>
          <w:color w:val="auto"/>
          <w:szCs w:val="22"/>
          <w:lang w:val="fi-FI"/>
        </w:rPr>
        <w:t xml:space="preserve"> </w:t>
      </w:r>
      <w:r w:rsidRPr="007E6099">
        <w:rPr>
          <w:rFonts w:ascii="Arial" w:hAnsi="Arial" w:cs="Arial"/>
          <w:iCs/>
          <w:szCs w:val="22"/>
          <w:lang w:val="fi-FI"/>
        </w:rPr>
        <w:t>päättämään</w:t>
      </w:r>
      <w:r>
        <w:rPr>
          <w:rFonts w:ascii="Arial" w:hAnsi="Arial" w:cs="Arial"/>
          <w:iCs/>
          <w:szCs w:val="22"/>
          <w:lang w:val="fi-FI"/>
        </w:rPr>
        <w:t xml:space="preserve"> </w:t>
      </w:r>
      <w:r w:rsidRPr="007E6099">
        <w:rPr>
          <w:rFonts w:ascii="Arial" w:hAnsi="Arial" w:cs="Arial"/>
          <w:iCs/>
          <w:szCs w:val="22"/>
          <w:lang w:val="fi-FI"/>
        </w:rPr>
        <w:t>yhteensä enintään 200 000 euron määräisten lahjoitusten antamisesta yliopistoille, korkeakouluille tai muihin yleishyödyllisiin tai niihin rinnastettaviin tarkoituksiin. Lahjoitukset voidaan antaa yhdessä tai useammassa erässä. Hallitus voi päättää lahjoitusten saajista ja kunkin lahjoituksen määrästä. Valtuutus on voimassa seuraavan varsinaisen yhtiökokouksen päättymiseen saakka.</w:t>
      </w:r>
    </w:p>
    <w:p w14:paraId="7C1E0F39" w14:textId="4D6D1999" w:rsidR="003E28DF" w:rsidRDefault="0034584D" w:rsidP="008F1874">
      <w:pPr>
        <w:rPr>
          <w:rFonts w:ascii="Arial" w:hAnsi="Arial" w:cs="Arial"/>
          <w:szCs w:val="22"/>
          <w:lang w:val="fi-FI"/>
        </w:rPr>
      </w:pPr>
      <w:r w:rsidRPr="00651DC6">
        <w:rPr>
          <w:rStyle w:val="SubtleEmphasis"/>
          <w:rFonts w:ascii="Arial" w:hAnsi="Arial" w:cs="Arial"/>
          <w:i w:val="0"/>
          <w:color w:val="auto"/>
          <w:szCs w:val="22"/>
          <w:lang w:val="fi-FI"/>
        </w:rPr>
        <w:lastRenderedPageBreak/>
        <w:br/>
      </w:r>
      <w:r w:rsidR="00540291" w:rsidRPr="00651DC6">
        <w:rPr>
          <w:rFonts w:ascii="Arial" w:hAnsi="Arial" w:cs="Arial"/>
          <w:b/>
          <w:szCs w:val="22"/>
          <w:lang w:val="fi-FI"/>
        </w:rPr>
        <w:t>Yhtiökokouksen pöytäkirja</w:t>
      </w:r>
      <w:r w:rsidR="00540291" w:rsidRPr="00651DC6">
        <w:rPr>
          <w:rFonts w:ascii="Arial" w:hAnsi="Arial" w:cs="Arial"/>
          <w:szCs w:val="22"/>
          <w:lang w:val="fi-FI"/>
        </w:rPr>
        <w:br/>
      </w:r>
      <w:r w:rsidR="00540291" w:rsidRPr="00651DC6">
        <w:rPr>
          <w:rFonts w:ascii="Arial" w:hAnsi="Arial" w:cs="Arial"/>
          <w:szCs w:val="22"/>
          <w:lang w:val="fi-FI"/>
        </w:rPr>
        <w:br/>
        <w:t xml:space="preserve">Yhtiökokouksen pöytäkirja on nähtävillä </w:t>
      </w:r>
      <w:r w:rsidR="008F1874" w:rsidRPr="007E6099">
        <w:rPr>
          <w:rFonts w:ascii="Arial" w:hAnsi="Arial" w:cs="Arial"/>
          <w:szCs w:val="22"/>
          <w:lang w:val="fi-FI"/>
        </w:rPr>
        <w:t>www.konecranes.com/agm201</w:t>
      </w:r>
      <w:r w:rsidR="007E6099">
        <w:rPr>
          <w:rFonts w:ascii="Arial" w:hAnsi="Arial" w:cs="Arial"/>
          <w:szCs w:val="22"/>
          <w:lang w:val="fi-FI"/>
        </w:rPr>
        <w:t>9</w:t>
      </w:r>
      <w:r w:rsidR="008F1874" w:rsidRPr="008F1874">
        <w:rPr>
          <w:rStyle w:val="Hyperlink"/>
          <w:rFonts w:ascii="Arial" w:hAnsi="Arial" w:cs="Arial"/>
          <w:szCs w:val="22"/>
          <w:u w:val="none"/>
          <w:lang w:val="fi-FI"/>
        </w:rPr>
        <w:t xml:space="preserve"> </w:t>
      </w:r>
      <w:r w:rsidR="008F1874" w:rsidRPr="00813855">
        <w:rPr>
          <w:rFonts w:ascii="Arial" w:hAnsi="Arial" w:cs="Arial"/>
          <w:szCs w:val="22"/>
          <w:lang w:val="fi-FI"/>
        </w:rPr>
        <w:t xml:space="preserve">viimeistään </w:t>
      </w:r>
      <w:r w:rsidR="007E6099">
        <w:rPr>
          <w:rFonts w:ascii="Arial" w:hAnsi="Arial" w:cs="Arial"/>
          <w:szCs w:val="22"/>
          <w:lang w:val="fi-FI"/>
        </w:rPr>
        <w:t>11</w:t>
      </w:r>
      <w:r w:rsidR="001F1032" w:rsidRPr="00813855">
        <w:rPr>
          <w:rFonts w:ascii="Arial" w:hAnsi="Arial" w:cs="Arial"/>
          <w:szCs w:val="22"/>
          <w:lang w:val="fi-FI"/>
        </w:rPr>
        <w:t>.4</w:t>
      </w:r>
      <w:r w:rsidR="001F1032" w:rsidRPr="00651DC6">
        <w:rPr>
          <w:rFonts w:ascii="Arial" w:hAnsi="Arial" w:cs="Arial"/>
          <w:szCs w:val="22"/>
          <w:lang w:val="fi-FI"/>
        </w:rPr>
        <w:t>.201</w:t>
      </w:r>
      <w:r w:rsidR="007E6099">
        <w:rPr>
          <w:rFonts w:ascii="Arial" w:hAnsi="Arial" w:cs="Arial"/>
          <w:szCs w:val="22"/>
          <w:lang w:val="fi-FI"/>
        </w:rPr>
        <w:t>9</w:t>
      </w:r>
      <w:r w:rsidR="001F1032" w:rsidRPr="00651DC6">
        <w:rPr>
          <w:rFonts w:ascii="Arial" w:hAnsi="Arial" w:cs="Arial"/>
          <w:szCs w:val="22"/>
          <w:lang w:val="fi-FI"/>
        </w:rPr>
        <w:t xml:space="preserve"> alkaen.</w:t>
      </w:r>
      <w:r w:rsidR="003F5A67">
        <w:rPr>
          <w:rFonts w:ascii="Arial" w:hAnsi="Arial" w:cs="Arial"/>
          <w:szCs w:val="22"/>
          <w:lang w:val="fi-FI"/>
        </w:rPr>
        <w:br/>
      </w:r>
      <w:r w:rsidR="00540291" w:rsidRPr="00651DC6">
        <w:rPr>
          <w:rFonts w:ascii="Arial" w:hAnsi="Arial" w:cs="Arial"/>
          <w:szCs w:val="22"/>
          <w:lang w:val="fi-FI"/>
        </w:rPr>
        <w:br/>
      </w:r>
    </w:p>
    <w:p w14:paraId="5446BA3E" w14:textId="7547F6C5" w:rsidR="008F1874" w:rsidRPr="001C4D34" w:rsidRDefault="008F1874" w:rsidP="008F1874">
      <w:pPr>
        <w:rPr>
          <w:rFonts w:ascii="Arial" w:hAnsi="Arial" w:cs="Arial"/>
          <w:szCs w:val="22"/>
          <w:u w:val="single"/>
          <w:lang w:val="fi-FI"/>
        </w:rPr>
      </w:pPr>
      <w:r w:rsidRPr="001C4D34">
        <w:rPr>
          <w:rFonts w:ascii="Arial" w:hAnsi="Arial" w:cs="Arial"/>
          <w:szCs w:val="22"/>
          <w:lang w:val="fi-FI"/>
        </w:rPr>
        <w:t xml:space="preserve">KONECRANES OYJ </w:t>
      </w:r>
      <w:r w:rsidRPr="001C4D34">
        <w:rPr>
          <w:rFonts w:ascii="Arial" w:hAnsi="Arial" w:cs="Arial"/>
          <w:szCs w:val="22"/>
          <w:lang w:val="fi-FI"/>
        </w:rPr>
        <w:br/>
      </w:r>
      <w:r w:rsidRPr="001C4D34">
        <w:rPr>
          <w:rFonts w:ascii="Arial" w:hAnsi="Arial" w:cs="Arial"/>
          <w:szCs w:val="22"/>
          <w:lang w:val="fi-FI"/>
        </w:rPr>
        <w:br/>
        <w:t>Eero Tuulos</w:t>
      </w:r>
      <w:r w:rsidRPr="001C4D34">
        <w:rPr>
          <w:rFonts w:ascii="Arial" w:hAnsi="Arial" w:cs="Arial"/>
          <w:szCs w:val="22"/>
          <w:lang w:val="fi-FI"/>
        </w:rPr>
        <w:br/>
        <w:t>Sijoittajasuhdejohtaja</w:t>
      </w:r>
      <w:r w:rsidRPr="001C4D34">
        <w:rPr>
          <w:rFonts w:ascii="Arial" w:hAnsi="Arial" w:cs="Arial"/>
          <w:szCs w:val="22"/>
          <w:lang w:val="fi-FI"/>
        </w:rPr>
        <w:br/>
      </w:r>
      <w:r w:rsidRPr="001C4D34">
        <w:rPr>
          <w:rFonts w:ascii="Arial" w:hAnsi="Arial" w:cs="Arial"/>
          <w:szCs w:val="22"/>
          <w:lang w:val="fi-FI"/>
        </w:rPr>
        <w:br/>
      </w:r>
      <w:r w:rsidRPr="001C4D34">
        <w:rPr>
          <w:rFonts w:ascii="Arial" w:hAnsi="Arial" w:cs="Arial"/>
          <w:szCs w:val="22"/>
          <w:lang w:val="fi-FI"/>
        </w:rPr>
        <w:br/>
        <w:t>LISÄTIETOJA</w:t>
      </w:r>
      <w:r w:rsidRPr="001C4D34">
        <w:rPr>
          <w:rFonts w:ascii="Arial" w:hAnsi="Arial" w:cs="Arial"/>
          <w:szCs w:val="22"/>
          <w:lang w:val="fi-FI"/>
        </w:rPr>
        <w:br/>
        <w:t>Eero Tuulos, sijoittajasuhdejohtaja, puh. +358 (0) 20 427 2050</w:t>
      </w:r>
      <w:r w:rsidRPr="001C4D34">
        <w:rPr>
          <w:rFonts w:ascii="Arial" w:hAnsi="Arial" w:cs="Arial"/>
          <w:szCs w:val="22"/>
          <w:lang w:val="fi-FI"/>
        </w:rPr>
        <w:br/>
      </w:r>
      <w:r w:rsidRPr="001C4D34">
        <w:rPr>
          <w:rFonts w:ascii="Arial" w:hAnsi="Arial" w:cs="Arial"/>
          <w:szCs w:val="22"/>
          <w:lang w:val="fi-FI"/>
        </w:rPr>
        <w:br/>
      </w:r>
      <w:r w:rsidRPr="001C4D34">
        <w:rPr>
          <w:rFonts w:ascii="Arial" w:hAnsi="Arial" w:cs="Arial"/>
          <w:szCs w:val="22"/>
          <w:lang w:val="fi-FI"/>
        </w:rPr>
        <w:br/>
      </w:r>
      <w:r w:rsidR="007E6099" w:rsidRPr="007E6099">
        <w:rPr>
          <w:rFonts w:ascii="Arial" w:hAnsi="Arial" w:cs="Arial"/>
          <w:szCs w:val="22"/>
          <w:lang w:val="fi-FI"/>
        </w:rPr>
        <w:t>Konecranes on yksi maailman johtavista nostolaitevalmistajista, ja sen asiakkaita ovat muun muassa koneenrakennus- ja prosessiteollisuus, telakat, satamat ja terminaalit. Yritys toimittaa asiakkailleen toimintaa tehostavia nostoratkaisuja ja huoltopalveluita kaikille nosturimerkeille. Vuonna 2018 konsernin liikevaihto oli yhteensä 3 156 miljoonaa euroa.</w:t>
      </w:r>
      <w:r w:rsidR="007E6099" w:rsidRPr="007E6099">
        <w:rPr>
          <w:rFonts w:ascii="Arial" w:hAnsi="Arial" w:cs="Arial"/>
          <w:b/>
          <w:bCs/>
          <w:szCs w:val="22"/>
          <w:lang w:val="fi-FI"/>
        </w:rPr>
        <w:t xml:space="preserve"> </w:t>
      </w:r>
      <w:r w:rsidR="007E6099" w:rsidRPr="007E6099">
        <w:rPr>
          <w:rFonts w:ascii="Arial" w:hAnsi="Arial" w:cs="Arial"/>
          <w:szCs w:val="22"/>
          <w:lang w:val="fi-FI"/>
        </w:rPr>
        <w:t>Yrityksellä on 16 100 työntekijää ja 600 huoltopistettä 50 maassa. Konecranes Oyj:n osakkeet on noteerattu Nasdaq Helsingissä (osakkeen tunnus: KCR).</w:t>
      </w:r>
      <w:r w:rsidRPr="001C4D34">
        <w:rPr>
          <w:rFonts w:ascii="Arial" w:hAnsi="Arial" w:cs="Arial"/>
          <w:szCs w:val="22"/>
          <w:lang w:val="fi-FI"/>
        </w:rPr>
        <w:br/>
      </w:r>
      <w:r w:rsidRPr="001C4D34">
        <w:rPr>
          <w:rFonts w:ascii="Arial" w:hAnsi="Arial" w:cs="Arial"/>
          <w:szCs w:val="22"/>
          <w:lang w:val="fi-FI"/>
        </w:rPr>
        <w:br/>
      </w:r>
      <w:r w:rsidRPr="001C4D34">
        <w:rPr>
          <w:rFonts w:ascii="Arial" w:hAnsi="Arial" w:cs="Arial"/>
          <w:szCs w:val="22"/>
          <w:lang w:val="fi-FI"/>
        </w:rPr>
        <w:br/>
      </w:r>
      <w:r w:rsidRPr="007E6099">
        <w:rPr>
          <w:rFonts w:ascii="Arial" w:hAnsi="Arial" w:cs="Arial"/>
          <w:szCs w:val="22"/>
          <w:lang w:val="fi-FI"/>
        </w:rPr>
        <w:t>JAKELU</w:t>
      </w:r>
      <w:r w:rsidRPr="007E6099">
        <w:rPr>
          <w:rFonts w:ascii="Arial" w:hAnsi="Arial" w:cs="Arial"/>
          <w:szCs w:val="22"/>
          <w:lang w:val="fi-FI"/>
        </w:rPr>
        <w:br/>
        <w:t>Nasdaq Helsinki</w:t>
      </w:r>
      <w:r w:rsidRPr="007E6099">
        <w:rPr>
          <w:rFonts w:ascii="Arial" w:hAnsi="Arial" w:cs="Arial"/>
          <w:szCs w:val="22"/>
          <w:lang w:val="fi-FI"/>
        </w:rPr>
        <w:br/>
        <w:t>Keskeiset tiedotusvälineet</w:t>
      </w:r>
      <w:r w:rsidRPr="007E6099">
        <w:rPr>
          <w:rFonts w:ascii="Arial" w:hAnsi="Arial" w:cs="Arial"/>
          <w:szCs w:val="22"/>
          <w:lang w:val="fi-FI"/>
        </w:rPr>
        <w:br/>
        <w:t>www.konecranes.com</w:t>
      </w:r>
    </w:p>
    <w:p w14:paraId="5662AF01" w14:textId="19BBCA25" w:rsidR="00EB7062" w:rsidRPr="00651DC6" w:rsidRDefault="00EB7062" w:rsidP="001F1032">
      <w:pPr>
        <w:tabs>
          <w:tab w:val="left" w:pos="5954"/>
        </w:tabs>
        <w:spacing w:line="240" w:lineRule="auto"/>
        <w:rPr>
          <w:rStyle w:val="SubtleEmphasis"/>
          <w:rFonts w:ascii="Arial" w:hAnsi="Arial" w:cs="Arial"/>
          <w:i w:val="0"/>
          <w:iCs w:val="0"/>
          <w:color w:val="auto"/>
          <w:szCs w:val="22"/>
          <w:lang w:val="fi-FI"/>
        </w:rPr>
      </w:pPr>
    </w:p>
    <w:sectPr w:rsidR="00EB7062" w:rsidRPr="00651DC6" w:rsidSect="00E479F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276" w:bottom="1418" w:left="1276" w:header="1701" w:footer="55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E160A" w14:textId="77777777" w:rsidR="0038136C" w:rsidRDefault="0038136C">
      <w:r>
        <w:separator/>
      </w:r>
    </w:p>
    <w:p w14:paraId="21406E2D" w14:textId="77777777" w:rsidR="0038136C" w:rsidRDefault="0038136C"/>
  </w:endnote>
  <w:endnote w:type="continuationSeparator" w:id="0">
    <w:p w14:paraId="178BE4C0" w14:textId="77777777" w:rsidR="0038136C" w:rsidRDefault="0038136C">
      <w:r>
        <w:continuationSeparator/>
      </w:r>
    </w:p>
    <w:p w14:paraId="6CD36666" w14:textId="77777777" w:rsidR="0038136C" w:rsidRDefault="00381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erpetua S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Franklin Gothic Std Book">
    <w:altName w:val="Calibri"/>
    <w:panose1 w:val="020B0504030503020204"/>
    <w:charset w:val="00"/>
    <w:family w:val="swiss"/>
    <w:notTrueType/>
    <w:pitch w:val="variable"/>
    <w:sig w:usb0="800000AF" w:usb1="4000204A" w:usb2="00000000" w:usb3="00000000" w:csb0="00000001" w:csb1="00000000"/>
  </w:font>
  <w:font w:name="ITC Franklin Gothic Std Med">
    <w:altName w:val="Lucida Sans"/>
    <w:panose1 w:val="020B0704030503020204"/>
    <w:charset w:val="00"/>
    <w:family w:val="swiss"/>
    <w:notTrueType/>
    <w:pitch w:val="variable"/>
    <w:sig w:usb0="800000A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Franklin Gothic Boo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7D08" w14:textId="6EBA867A" w:rsidR="00CE0881" w:rsidRPr="0076227D" w:rsidRDefault="0076227D" w:rsidP="0076227D">
    <w:pPr>
      <w:pStyle w:val="Footer"/>
    </w:pPr>
    <w:r>
      <w:rPr>
        <w:rFonts w:ascii="Calibri" w:hAnsi="Calibri"/>
        <w:sz w:val="16"/>
      </w:rPr>
      <w:fldChar w:fldCharType="begin"/>
    </w:r>
    <w:r>
      <w:rPr>
        <w:rFonts w:ascii="Calibri" w:hAnsi="Calibri"/>
        <w:sz w:val="16"/>
      </w:rPr>
      <w:instrText xml:space="preserve"> DOCPROPERTY "DocRef" \* MERGEFORMAT </w:instrText>
    </w:r>
    <w:r>
      <w:rPr>
        <w:rFonts w:ascii="Calibri" w:hAnsi="Calibri"/>
        <w:sz w:val="16"/>
      </w:rPr>
      <w:fldChar w:fldCharType="separate"/>
    </w:r>
    <w:r w:rsidR="00533EC0">
      <w:rPr>
        <w:rFonts w:ascii="Calibri" w:hAnsi="Calibri"/>
        <w:sz w:val="16"/>
      </w:rPr>
      <w:t>W/8998944/v4</w:t>
    </w:r>
    <w:r>
      <w:rPr>
        <w:rFonts w:ascii="Calibri" w:hAnsi="Calibr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E059A" w14:textId="71936544" w:rsidR="00CE0881" w:rsidRPr="00CE0881" w:rsidRDefault="00CE0881" w:rsidP="00CE0881">
    <w:pPr>
      <w:pStyle w:val="Footer"/>
    </w:pPr>
    <w:r>
      <w:rPr>
        <w:rFonts w:ascii="Calibri" w:hAnsi="Calibri"/>
        <w:sz w:val="16"/>
      </w:rPr>
      <w:fldChar w:fldCharType="begin"/>
    </w:r>
    <w:r>
      <w:rPr>
        <w:rFonts w:ascii="Calibri" w:hAnsi="Calibri"/>
        <w:sz w:val="16"/>
      </w:rPr>
      <w:instrText xml:space="preserve"> DOCPROPERTY "DocRef" \* MERGEFORMAT </w:instrText>
    </w:r>
    <w:r>
      <w:rPr>
        <w:rFonts w:ascii="Calibri" w:hAnsi="Calibri"/>
        <w:sz w:val="16"/>
      </w:rPr>
      <w:fldChar w:fldCharType="separate"/>
    </w:r>
    <w:r w:rsidR="00533EC0">
      <w:rPr>
        <w:rFonts w:ascii="Calibri" w:hAnsi="Calibri"/>
        <w:sz w:val="16"/>
      </w:rPr>
      <w:t>W/8998944/v4</w:t>
    </w:r>
    <w:r>
      <w:rPr>
        <w:rFonts w:ascii="Calibri" w:hAnsi="Calibr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AF10" w14:textId="67E8A71E" w:rsidR="000E49BF" w:rsidRPr="00CE0881" w:rsidRDefault="00CE0881" w:rsidP="00CE0881">
    <w:pPr>
      <w:pStyle w:val="Footer"/>
    </w:pPr>
    <w:r>
      <w:rPr>
        <w:rFonts w:ascii="Calibri" w:hAnsi="Calibri"/>
        <w:sz w:val="16"/>
        <w:szCs w:val="18"/>
      </w:rPr>
      <w:fldChar w:fldCharType="begin"/>
    </w:r>
    <w:r>
      <w:rPr>
        <w:rFonts w:ascii="Calibri" w:hAnsi="Calibri"/>
        <w:sz w:val="16"/>
        <w:szCs w:val="18"/>
      </w:rPr>
      <w:instrText xml:space="preserve"> DOCPROPERTY "DocRef" \* MERGEFORMAT </w:instrText>
    </w:r>
    <w:r>
      <w:rPr>
        <w:rFonts w:ascii="Calibri" w:hAnsi="Calibri"/>
        <w:sz w:val="16"/>
        <w:szCs w:val="18"/>
      </w:rPr>
      <w:fldChar w:fldCharType="separate"/>
    </w:r>
    <w:r w:rsidR="00533EC0">
      <w:rPr>
        <w:rFonts w:ascii="Calibri" w:hAnsi="Calibri"/>
        <w:sz w:val="16"/>
        <w:szCs w:val="18"/>
      </w:rPr>
      <w:t>W/8998944/v4</w:t>
    </w:r>
    <w:r>
      <w:rPr>
        <w:rFonts w:ascii="Calibri" w:hAnsi="Calibri"/>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656E4" w14:textId="77777777" w:rsidR="0038136C" w:rsidRDefault="0038136C">
      <w:r>
        <w:separator/>
      </w:r>
    </w:p>
    <w:p w14:paraId="17703C9A" w14:textId="77777777" w:rsidR="0038136C" w:rsidRDefault="0038136C"/>
  </w:footnote>
  <w:footnote w:type="continuationSeparator" w:id="0">
    <w:p w14:paraId="4E7EA2FE" w14:textId="77777777" w:rsidR="0038136C" w:rsidRDefault="0038136C">
      <w:r>
        <w:continuationSeparator/>
      </w:r>
    </w:p>
    <w:p w14:paraId="6B3FC083" w14:textId="77777777" w:rsidR="0038136C" w:rsidRDefault="0038136C"/>
  </w:footnote>
  <w:footnote w:id="1">
    <w:p w14:paraId="7F2D8DF7" w14:textId="77777777" w:rsidR="00613DC3" w:rsidRPr="00A02BC8" w:rsidRDefault="00613DC3" w:rsidP="00613DC3">
      <w:pPr>
        <w:pStyle w:val="FootnoteText"/>
        <w:rPr>
          <w:lang w:val="fi-FI"/>
        </w:rPr>
      </w:pPr>
      <w:r>
        <w:rPr>
          <w:rStyle w:val="FootnoteReference"/>
        </w:rPr>
        <w:footnoteRef/>
      </w:r>
      <w:r w:rsidRPr="00A02BC8">
        <w:rPr>
          <w:lang w:val="fi-FI"/>
        </w:rPr>
        <w:t xml:space="preserve"> </w:t>
      </w:r>
      <w:r>
        <w:rPr>
          <w:lang w:val="fi-FI"/>
        </w:rPr>
        <w:t>Laki henkilöstön edustuksesta yritysten hallinnossa (hallintoedustuslaki, 725/1990)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46AA" w14:textId="77777777" w:rsidR="00CE0881" w:rsidRDefault="00CE0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1122" w14:textId="77777777" w:rsidR="00CE0881" w:rsidRDefault="00CE0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AF0A" w14:textId="77777777" w:rsidR="004F0AFA" w:rsidRDefault="004F0AFA" w:rsidP="004F0AFA">
    <w:r>
      <w:tab/>
    </w:r>
  </w:p>
  <w:p w14:paraId="5662AF0B" w14:textId="77777777" w:rsidR="004F0AFA" w:rsidRPr="004F0AFA" w:rsidRDefault="004F0AFA" w:rsidP="004F0AFA">
    <w:r>
      <w:tab/>
    </w:r>
    <w:r>
      <w:tab/>
    </w:r>
    <w:r>
      <w:tab/>
    </w:r>
    <w:r>
      <w:tab/>
    </w:r>
    <w:r>
      <w:tab/>
    </w:r>
    <w:r>
      <w:tab/>
    </w:r>
    <w:r>
      <w:tab/>
    </w:r>
    <w:r>
      <w:tab/>
    </w:r>
    <w:r>
      <w:tab/>
    </w:r>
    <w:r w:rsidR="002F7121">
      <w:t>1</w:t>
    </w:r>
    <w:r>
      <w:t>.</w:t>
    </w:r>
    <w:r w:rsidR="002F7121">
      <w:t>2</w:t>
    </w:r>
    <w:r>
      <w:t>.2012</w:t>
    </w:r>
  </w:p>
  <w:p w14:paraId="5662AF0C" w14:textId="77777777" w:rsidR="000E49BF" w:rsidRDefault="000E49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F78"/>
    <w:multiLevelType w:val="multilevel"/>
    <w:tmpl w:val="4440D0D2"/>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2"/>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 w15:restartNumberingAfterBreak="0">
    <w:nsid w:val="0E3C34DC"/>
    <w:multiLevelType w:val="hybridMultilevel"/>
    <w:tmpl w:val="37EE0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294A"/>
    <w:multiLevelType w:val="hybridMultilevel"/>
    <w:tmpl w:val="6AE8B828"/>
    <w:lvl w:ilvl="0" w:tplc="CA9EC238">
      <w:start w:val="1"/>
      <w:numFmt w:val="bullet"/>
      <w:lvlText w:val="•"/>
      <w:lvlJc w:val="left"/>
      <w:pPr>
        <w:tabs>
          <w:tab w:val="num" w:pos="2081"/>
        </w:tabs>
        <w:ind w:left="2081" w:hanging="360"/>
      </w:pPr>
      <w:rPr>
        <w:rFonts w:ascii="Perpetua SC" w:hAnsi="Perpetua SC" w:hint="default"/>
      </w:rPr>
    </w:lvl>
    <w:lvl w:ilvl="1" w:tplc="04090003" w:tentative="1">
      <w:start w:val="1"/>
      <w:numFmt w:val="bullet"/>
      <w:lvlText w:val="o"/>
      <w:lvlJc w:val="left"/>
      <w:pPr>
        <w:tabs>
          <w:tab w:val="num" w:pos="2801"/>
        </w:tabs>
        <w:ind w:left="2801" w:hanging="360"/>
      </w:pPr>
      <w:rPr>
        <w:rFonts w:ascii="Courier New" w:hAnsi="Courier New" w:hint="default"/>
      </w:rPr>
    </w:lvl>
    <w:lvl w:ilvl="2" w:tplc="04090005" w:tentative="1">
      <w:start w:val="1"/>
      <w:numFmt w:val="bullet"/>
      <w:lvlText w:val=""/>
      <w:lvlJc w:val="left"/>
      <w:pPr>
        <w:tabs>
          <w:tab w:val="num" w:pos="3521"/>
        </w:tabs>
        <w:ind w:left="3521" w:hanging="360"/>
      </w:pPr>
      <w:rPr>
        <w:rFonts w:ascii="Wingdings" w:hAnsi="Wingdings" w:hint="default"/>
      </w:rPr>
    </w:lvl>
    <w:lvl w:ilvl="3" w:tplc="04090001" w:tentative="1">
      <w:start w:val="1"/>
      <w:numFmt w:val="bullet"/>
      <w:lvlText w:val=""/>
      <w:lvlJc w:val="left"/>
      <w:pPr>
        <w:tabs>
          <w:tab w:val="num" w:pos="4241"/>
        </w:tabs>
        <w:ind w:left="4241" w:hanging="360"/>
      </w:pPr>
      <w:rPr>
        <w:rFonts w:ascii="Symbol" w:hAnsi="Symbol" w:hint="default"/>
      </w:rPr>
    </w:lvl>
    <w:lvl w:ilvl="4" w:tplc="04090003" w:tentative="1">
      <w:start w:val="1"/>
      <w:numFmt w:val="bullet"/>
      <w:lvlText w:val="o"/>
      <w:lvlJc w:val="left"/>
      <w:pPr>
        <w:tabs>
          <w:tab w:val="num" w:pos="4961"/>
        </w:tabs>
        <w:ind w:left="4961" w:hanging="360"/>
      </w:pPr>
      <w:rPr>
        <w:rFonts w:ascii="Courier New" w:hAnsi="Courier New" w:hint="default"/>
      </w:rPr>
    </w:lvl>
    <w:lvl w:ilvl="5" w:tplc="04090005" w:tentative="1">
      <w:start w:val="1"/>
      <w:numFmt w:val="bullet"/>
      <w:lvlText w:val=""/>
      <w:lvlJc w:val="left"/>
      <w:pPr>
        <w:tabs>
          <w:tab w:val="num" w:pos="5681"/>
        </w:tabs>
        <w:ind w:left="5681" w:hanging="360"/>
      </w:pPr>
      <w:rPr>
        <w:rFonts w:ascii="Wingdings" w:hAnsi="Wingdings" w:hint="default"/>
      </w:rPr>
    </w:lvl>
    <w:lvl w:ilvl="6" w:tplc="04090001" w:tentative="1">
      <w:start w:val="1"/>
      <w:numFmt w:val="bullet"/>
      <w:lvlText w:val=""/>
      <w:lvlJc w:val="left"/>
      <w:pPr>
        <w:tabs>
          <w:tab w:val="num" w:pos="6401"/>
        </w:tabs>
        <w:ind w:left="6401" w:hanging="360"/>
      </w:pPr>
      <w:rPr>
        <w:rFonts w:ascii="Symbol" w:hAnsi="Symbol" w:hint="default"/>
      </w:rPr>
    </w:lvl>
    <w:lvl w:ilvl="7" w:tplc="04090003" w:tentative="1">
      <w:start w:val="1"/>
      <w:numFmt w:val="bullet"/>
      <w:lvlText w:val="o"/>
      <w:lvlJc w:val="left"/>
      <w:pPr>
        <w:tabs>
          <w:tab w:val="num" w:pos="7121"/>
        </w:tabs>
        <w:ind w:left="7121" w:hanging="360"/>
      </w:pPr>
      <w:rPr>
        <w:rFonts w:ascii="Courier New" w:hAnsi="Courier New" w:hint="default"/>
      </w:rPr>
    </w:lvl>
    <w:lvl w:ilvl="8" w:tplc="04090005" w:tentative="1">
      <w:start w:val="1"/>
      <w:numFmt w:val="bullet"/>
      <w:lvlText w:val=""/>
      <w:lvlJc w:val="left"/>
      <w:pPr>
        <w:tabs>
          <w:tab w:val="num" w:pos="7841"/>
        </w:tabs>
        <w:ind w:left="7841" w:hanging="360"/>
      </w:pPr>
      <w:rPr>
        <w:rFonts w:ascii="Wingdings" w:hAnsi="Wingdings" w:hint="default"/>
      </w:rPr>
    </w:lvl>
  </w:abstractNum>
  <w:abstractNum w:abstractNumId="3" w15:restartNumberingAfterBreak="0">
    <w:nsid w:val="2BDF5659"/>
    <w:multiLevelType w:val="multilevel"/>
    <w:tmpl w:val="7138D548"/>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8C059EA"/>
    <w:multiLevelType w:val="multilevel"/>
    <w:tmpl w:val="6F6A94D4"/>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141108D"/>
    <w:multiLevelType w:val="multilevel"/>
    <w:tmpl w:val="56044D2C"/>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4180434"/>
    <w:multiLevelType w:val="multilevel"/>
    <w:tmpl w:val="F80C7554"/>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D882342"/>
    <w:multiLevelType w:val="multilevel"/>
    <w:tmpl w:val="8B828526"/>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E3506F8"/>
    <w:multiLevelType w:val="hybridMultilevel"/>
    <w:tmpl w:val="223EF3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50043"/>
    <w:multiLevelType w:val="multilevel"/>
    <w:tmpl w:val="FF7E0E2C"/>
    <w:lvl w:ilvl="0">
      <w:start w:val="1"/>
      <w:numFmt w:val="decimal"/>
      <w:lvlText w:val="%1."/>
      <w:lvlJc w:val="left"/>
      <w:pPr>
        <w:tabs>
          <w:tab w:val="num" w:pos="709"/>
        </w:tabs>
        <w:ind w:left="709" w:hanging="709"/>
      </w:pPr>
      <w:rPr>
        <w:rFonts w:ascii="Calibri" w:hAnsi="Calibri"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Calibri" w:hAnsi="Calibri"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709" w:hanging="709"/>
      </w:pPr>
      <w:rPr>
        <w:rFonts w:ascii="Calibri" w:hAnsi="Calibri" w:hint="default"/>
        <w:b/>
        <w:i w:val="0"/>
        <w:sz w:val="22"/>
        <w:szCs w:val="24"/>
      </w:rPr>
    </w:lvl>
    <w:lvl w:ilvl="3">
      <w:start w:val="1"/>
      <w:numFmt w:val="lowerLetter"/>
      <w:lvlText w:val="(%4)"/>
      <w:lvlJc w:val="left"/>
      <w:pPr>
        <w:tabs>
          <w:tab w:val="num" w:pos="1418"/>
        </w:tabs>
        <w:ind w:left="1418" w:hanging="709"/>
      </w:pPr>
      <w:rPr>
        <w:rFonts w:ascii="Calibri" w:hAnsi="Calibri" w:hint="default"/>
        <w:b w:val="0"/>
        <w:i w:val="0"/>
        <w:sz w:val="22"/>
        <w:szCs w:val="24"/>
      </w:rPr>
    </w:lvl>
    <w:lvl w:ilvl="4">
      <w:start w:val="1"/>
      <w:numFmt w:val="lowerRoman"/>
      <w:lvlText w:val="(%5)"/>
      <w:lvlJc w:val="left"/>
      <w:pPr>
        <w:tabs>
          <w:tab w:val="num" w:pos="2126"/>
        </w:tabs>
        <w:ind w:left="2126" w:hanging="708"/>
      </w:pPr>
      <w:rPr>
        <w:rFonts w:ascii="Calibri" w:hAnsi="Calibri" w:hint="default"/>
        <w:b w:val="0"/>
        <w:i w:val="0"/>
        <w:sz w:val="22"/>
        <w:szCs w:val="24"/>
      </w:rPr>
    </w:lvl>
    <w:lvl w:ilvl="5">
      <w:start w:val="1"/>
      <w:numFmt w:val="upperLetter"/>
      <w:lvlText w:val="(%6)"/>
      <w:lvlJc w:val="left"/>
      <w:pPr>
        <w:tabs>
          <w:tab w:val="num" w:pos="2835"/>
        </w:tabs>
        <w:ind w:left="2835" w:hanging="709"/>
      </w:pPr>
      <w:rPr>
        <w:rFonts w:ascii="Calibri" w:hAnsi="Calibri" w:hint="default"/>
        <w:b w:val="0"/>
        <w:i w:val="0"/>
        <w:sz w:val="22"/>
        <w:szCs w:val="24"/>
      </w:rPr>
    </w:lvl>
    <w:lvl w:ilvl="6">
      <w:start w:val="1"/>
      <w:numFmt w:val="none"/>
      <w:lvlRestart w:val="0"/>
      <w:isLgl/>
      <w:suff w:val="nothing"/>
      <w:lvlText w:val=""/>
      <w:lvlJc w:val="left"/>
      <w:pPr>
        <w:ind w:left="0" w:firstLine="0"/>
      </w:pPr>
      <w:rPr>
        <w:rFonts w:hint="default"/>
      </w:rPr>
    </w:lvl>
    <w:lvl w:ilvl="7">
      <w:start w:val="1"/>
      <w:numFmt w:val="decimal"/>
      <w:lvlRestart w:val="1"/>
      <w:suff w:val="nothing"/>
      <w:lvlText w:val="%1.%8"/>
      <w:lvlJc w:val="left"/>
      <w:pPr>
        <w:ind w:left="0" w:firstLine="0"/>
      </w:pPr>
      <w:rPr>
        <w:rFonts w:ascii="Calibri" w:hAnsi="Calibri" w:hint="default"/>
        <w:b/>
        <w:i w:val="0"/>
        <w:sz w:val="22"/>
        <w:szCs w:val="24"/>
      </w:rPr>
    </w:lvl>
    <w:lvl w:ilvl="8">
      <w:start w:val="1"/>
      <w:numFmt w:val="none"/>
      <w:lvlRestart w:val="0"/>
      <w:suff w:val="nothing"/>
      <w:lvlText w:val="%9"/>
      <w:lvlJc w:val="left"/>
      <w:pPr>
        <w:ind w:left="0" w:firstLine="0"/>
      </w:pPr>
      <w:rPr>
        <w:rFonts w:ascii="Arial" w:hAnsi="Arial" w:hint="default"/>
        <w:b w:val="0"/>
        <w:i w:val="0"/>
        <w:sz w:val="20"/>
        <w:szCs w:val="24"/>
      </w:rPr>
    </w:lvl>
  </w:abstractNum>
  <w:abstractNum w:abstractNumId="10" w15:restartNumberingAfterBreak="0">
    <w:nsid w:val="5D2D447A"/>
    <w:multiLevelType w:val="multilevel"/>
    <w:tmpl w:val="AADA13AC"/>
    <w:lvl w:ilvl="0">
      <w:start w:val="1"/>
      <w:numFmt w:val="decimal"/>
      <w:lvlText w:val="%1"/>
      <w:lvlJc w:val="left"/>
      <w:pPr>
        <w:tabs>
          <w:tab w:val="num" w:pos="1290"/>
        </w:tabs>
        <w:ind w:left="1290" w:hanging="723"/>
      </w:pPr>
      <w:rPr>
        <w:rFonts w:hint="default"/>
      </w:rPr>
    </w:lvl>
    <w:lvl w:ilvl="1">
      <w:start w:val="1"/>
      <w:numFmt w:val="decimal"/>
      <w:lvlRestart w:val="0"/>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E0002C0"/>
    <w:multiLevelType w:val="multilevel"/>
    <w:tmpl w:val="84E4BDE4"/>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isLg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2" w15:restartNumberingAfterBreak="0">
    <w:nsid w:val="74204582"/>
    <w:multiLevelType w:val="hybridMultilevel"/>
    <w:tmpl w:val="9C38B1E2"/>
    <w:lvl w:ilvl="0" w:tplc="93C67D28">
      <w:start w:val="1"/>
      <w:numFmt w:val="decimal"/>
      <w:lvlText w:val="%1."/>
      <w:lvlJc w:val="left"/>
      <w:pPr>
        <w:tabs>
          <w:tab w:val="num" w:pos="927"/>
        </w:tabs>
        <w:ind w:left="927" w:hanging="360"/>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CA4B69"/>
    <w:multiLevelType w:val="multilevel"/>
    <w:tmpl w:val="5A5E395C"/>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num w:numId="1">
    <w:abstractNumId w:val="0"/>
  </w:num>
  <w:num w:numId="2">
    <w:abstractNumId w:val="11"/>
  </w:num>
  <w:num w:numId="3">
    <w:abstractNumId w:val="13"/>
  </w:num>
  <w:num w:numId="4">
    <w:abstractNumId w:val="6"/>
  </w:num>
  <w:num w:numId="5">
    <w:abstractNumId w:val="7"/>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5"/>
  </w:num>
  <w:num w:numId="11">
    <w:abstractNumId w:val="10"/>
  </w:num>
  <w:num w:numId="12">
    <w:abstractNumId w:val="10"/>
    <w:lvlOverride w:ilvl="0">
      <w:lvl w:ilvl="0">
        <w:start w:val="1"/>
        <w:numFmt w:val="decimal"/>
        <w:lvlText w:val="%1"/>
        <w:lvlJc w:val="left"/>
        <w:pPr>
          <w:tabs>
            <w:tab w:val="num" w:pos="1290"/>
          </w:tabs>
          <w:ind w:left="1290" w:hanging="723"/>
        </w:pPr>
        <w:rPr>
          <w:rFonts w:hint="default"/>
        </w:rPr>
      </w:lvl>
    </w:lvlOverride>
    <w:lvlOverride w:ilvl="1">
      <w:lvl w:ilvl="1">
        <w:start w:val="1"/>
        <w:numFmt w:val="decimal"/>
        <w:lvlRestart w:val="0"/>
        <w:lvlText w:val="%1.%2"/>
        <w:lvlJc w:val="left"/>
        <w:pPr>
          <w:tabs>
            <w:tab w:val="num" w:pos="1290"/>
          </w:tabs>
          <w:ind w:left="1290" w:hanging="723"/>
        </w:pPr>
        <w:rPr>
          <w:rFonts w:hint="default"/>
        </w:rPr>
      </w:lvl>
    </w:lvlOverride>
    <w:lvlOverride w:ilvl="2">
      <w:lvl w:ilvl="2">
        <w:start w:val="1"/>
        <w:numFmt w:val="decimal"/>
        <w:lvlText w:val="%1.%2.%3"/>
        <w:lvlJc w:val="left"/>
        <w:pPr>
          <w:tabs>
            <w:tab w:val="num" w:pos="1290"/>
          </w:tabs>
          <w:ind w:left="1290" w:hanging="1290"/>
        </w:pPr>
        <w:rPr>
          <w:rFonts w:hint="default"/>
        </w:rPr>
      </w:lvl>
    </w:lvlOverride>
    <w:lvlOverride w:ilvl="3">
      <w:lvl w:ilvl="3">
        <w:start w:val="1"/>
        <w:numFmt w:val="decimal"/>
        <w:lvlText w:val="%1.%2.%3.%4"/>
        <w:lvlJc w:val="left"/>
        <w:pPr>
          <w:tabs>
            <w:tab w:val="num" w:pos="1290"/>
          </w:tabs>
          <w:ind w:left="1290" w:hanging="1290"/>
        </w:pPr>
        <w:rPr>
          <w:rFonts w:hint="default"/>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3">
    <w:abstractNumId w:val="2"/>
  </w:num>
  <w:num w:numId="14">
    <w:abstractNumId w:val="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52"/>
  <w:hyphenationZone w:val="425"/>
  <w:drawingGridHorizontalSpacing w:val="110"/>
  <w:displayHorizontalDrawingGridEvery w:val="2"/>
  <w:noPunctuationKerning/>
  <w:characterSpacingControl w:val="doNotCompress"/>
  <w:hdrShapeDefaults>
    <o:shapedefaults v:ext="edit" spidmax="20481">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C7CCB"/>
    <w:rsid w:val="00001454"/>
    <w:rsid w:val="000215AF"/>
    <w:rsid w:val="0002177F"/>
    <w:rsid w:val="00021D44"/>
    <w:rsid w:val="00033AB3"/>
    <w:rsid w:val="00047399"/>
    <w:rsid w:val="00052992"/>
    <w:rsid w:val="0005395E"/>
    <w:rsid w:val="000560C1"/>
    <w:rsid w:val="00072A95"/>
    <w:rsid w:val="000865F7"/>
    <w:rsid w:val="000B5DA3"/>
    <w:rsid w:val="000B6A3E"/>
    <w:rsid w:val="000D134B"/>
    <w:rsid w:val="000D305E"/>
    <w:rsid w:val="000E49BF"/>
    <w:rsid w:val="000E6CF7"/>
    <w:rsid w:val="000F07AB"/>
    <w:rsid w:val="00102CDA"/>
    <w:rsid w:val="00106846"/>
    <w:rsid w:val="0011313E"/>
    <w:rsid w:val="00115916"/>
    <w:rsid w:val="00115D4B"/>
    <w:rsid w:val="001217F8"/>
    <w:rsid w:val="00124712"/>
    <w:rsid w:val="0012712D"/>
    <w:rsid w:val="00130ED8"/>
    <w:rsid w:val="0013624A"/>
    <w:rsid w:val="00137A20"/>
    <w:rsid w:val="001414B3"/>
    <w:rsid w:val="00155334"/>
    <w:rsid w:val="00155FCC"/>
    <w:rsid w:val="001674F4"/>
    <w:rsid w:val="00167856"/>
    <w:rsid w:val="00172171"/>
    <w:rsid w:val="00173152"/>
    <w:rsid w:val="00175004"/>
    <w:rsid w:val="00184E56"/>
    <w:rsid w:val="00186641"/>
    <w:rsid w:val="00187247"/>
    <w:rsid w:val="00190E49"/>
    <w:rsid w:val="001A4C57"/>
    <w:rsid w:val="001A4DA4"/>
    <w:rsid w:val="001B5E83"/>
    <w:rsid w:val="001C515E"/>
    <w:rsid w:val="001C676D"/>
    <w:rsid w:val="001D48B2"/>
    <w:rsid w:val="001D53A0"/>
    <w:rsid w:val="001E2B59"/>
    <w:rsid w:val="001F1032"/>
    <w:rsid w:val="001F4E9C"/>
    <w:rsid w:val="001F70D3"/>
    <w:rsid w:val="001F72AD"/>
    <w:rsid w:val="001F73F1"/>
    <w:rsid w:val="002072E1"/>
    <w:rsid w:val="00213A61"/>
    <w:rsid w:val="00225041"/>
    <w:rsid w:val="00243979"/>
    <w:rsid w:val="00262D4F"/>
    <w:rsid w:val="00263C4C"/>
    <w:rsid w:val="00284564"/>
    <w:rsid w:val="00287A3B"/>
    <w:rsid w:val="002947BC"/>
    <w:rsid w:val="00296AD9"/>
    <w:rsid w:val="002A6B83"/>
    <w:rsid w:val="002B63F2"/>
    <w:rsid w:val="002C0E0D"/>
    <w:rsid w:val="002C28E3"/>
    <w:rsid w:val="002C3FC0"/>
    <w:rsid w:val="002C7A3E"/>
    <w:rsid w:val="002D54CF"/>
    <w:rsid w:val="002E06CF"/>
    <w:rsid w:val="002F016A"/>
    <w:rsid w:val="002F7121"/>
    <w:rsid w:val="002F719C"/>
    <w:rsid w:val="003010F6"/>
    <w:rsid w:val="00303F73"/>
    <w:rsid w:val="00303FA5"/>
    <w:rsid w:val="00304943"/>
    <w:rsid w:val="00307366"/>
    <w:rsid w:val="003078CF"/>
    <w:rsid w:val="00312E2B"/>
    <w:rsid w:val="00315B9D"/>
    <w:rsid w:val="0032578F"/>
    <w:rsid w:val="00326BB3"/>
    <w:rsid w:val="00333AE4"/>
    <w:rsid w:val="0034123E"/>
    <w:rsid w:val="00341450"/>
    <w:rsid w:val="0034172B"/>
    <w:rsid w:val="003431AD"/>
    <w:rsid w:val="0034584D"/>
    <w:rsid w:val="00345F21"/>
    <w:rsid w:val="00350CA4"/>
    <w:rsid w:val="00354A5D"/>
    <w:rsid w:val="00356C4F"/>
    <w:rsid w:val="0037419D"/>
    <w:rsid w:val="0038136C"/>
    <w:rsid w:val="00387465"/>
    <w:rsid w:val="00397C52"/>
    <w:rsid w:val="003A01B6"/>
    <w:rsid w:val="003A491D"/>
    <w:rsid w:val="003C350D"/>
    <w:rsid w:val="003C7CCB"/>
    <w:rsid w:val="003D7C7C"/>
    <w:rsid w:val="003E28DF"/>
    <w:rsid w:val="003F5A67"/>
    <w:rsid w:val="00400112"/>
    <w:rsid w:val="00403BB2"/>
    <w:rsid w:val="0041387A"/>
    <w:rsid w:val="00416E84"/>
    <w:rsid w:val="00421A77"/>
    <w:rsid w:val="00431A0C"/>
    <w:rsid w:val="00432BF0"/>
    <w:rsid w:val="0044586B"/>
    <w:rsid w:val="004533D7"/>
    <w:rsid w:val="00460090"/>
    <w:rsid w:val="00462A97"/>
    <w:rsid w:val="00477D7A"/>
    <w:rsid w:val="00484155"/>
    <w:rsid w:val="0048474B"/>
    <w:rsid w:val="0049053D"/>
    <w:rsid w:val="004953CF"/>
    <w:rsid w:val="00495D2B"/>
    <w:rsid w:val="004A4B7D"/>
    <w:rsid w:val="004A606B"/>
    <w:rsid w:val="004A70DE"/>
    <w:rsid w:val="004B3EFE"/>
    <w:rsid w:val="004B7C9E"/>
    <w:rsid w:val="004C1188"/>
    <w:rsid w:val="004C18BF"/>
    <w:rsid w:val="004C1C65"/>
    <w:rsid w:val="004C1D2D"/>
    <w:rsid w:val="004C345B"/>
    <w:rsid w:val="004E092B"/>
    <w:rsid w:val="004E16BB"/>
    <w:rsid w:val="004F08E1"/>
    <w:rsid w:val="004F0AC1"/>
    <w:rsid w:val="004F0AFA"/>
    <w:rsid w:val="004F41BF"/>
    <w:rsid w:val="004F5C02"/>
    <w:rsid w:val="00500C0D"/>
    <w:rsid w:val="00506217"/>
    <w:rsid w:val="00506A3F"/>
    <w:rsid w:val="00515D17"/>
    <w:rsid w:val="00525D7A"/>
    <w:rsid w:val="00533EC0"/>
    <w:rsid w:val="00536A8F"/>
    <w:rsid w:val="00540291"/>
    <w:rsid w:val="005518CA"/>
    <w:rsid w:val="005729CF"/>
    <w:rsid w:val="005861A2"/>
    <w:rsid w:val="0058631F"/>
    <w:rsid w:val="00590855"/>
    <w:rsid w:val="00593534"/>
    <w:rsid w:val="00594091"/>
    <w:rsid w:val="005A2754"/>
    <w:rsid w:val="005A7179"/>
    <w:rsid w:val="005B4398"/>
    <w:rsid w:val="005B5CE9"/>
    <w:rsid w:val="005B7772"/>
    <w:rsid w:val="005C5627"/>
    <w:rsid w:val="005D3C07"/>
    <w:rsid w:val="005E1B89"/>
    <w:rsid w:val="005E3B9C"/>
    <w:rsid w:val="005E6CE0"/>
    <w:rsid w:val="00603C5F"/>
    <w:rsid w:val="00604E5E"/>
    <w:rsid w:val="00613DC3"/>
    <w:rsid w:val="0061658B"/>
    <w:rsid w:val="006230C3"/>
    <w:rsid w:val="00623373"/>
    <w:rsid w:val="0062515D"/>
    <w:rsid w:val="00632C77"/>
    <w:rsid w:val="00634471"/>
    <w:rsid w:val="00636977"/>
    <w:rsid w:val="006376EC"/>
    <w:rsid w:val="00640047"/>
    <w:rsid w:val="006462E1"/>
    <w:rsid w:val="00651DC6"/>
    <w:rsid w:val="006562A4"/>
    <w:rsid w:val="00657B87"/>
    <w:rsid w:val="006621E3"/>
    <w:rsid w:val="00663308"/>
    <w:rsid w:val="006720CE"/>
    <w:rsid w:val="006759DD"/>
    <w:rsid w:val="00675D3A"/>
    <w:rsid w:val="0068713A"/>
    <w:rsid w:val="00690C9F"/>
    <w:rsid w:val="00690D7E"/>
    <w:rsid w:val="006A24AD"/>
    <w:rsid w:val="006B07CE"/>
    <w:rsid w:val="006B23DC"/>
    <w:rsid w:val="006B356A"/>
    <w:rsid w:val="006C45FB"/>
    <w:rsid w:val="006D40AD"/>
    <w:rsid w:val="006D5A5F"/>
    <w:rsid w:val="006D770A"/>
    <w:rsid w:val="006F34D2"/>
    <w:rsid w:val="00700AD9"/>
    <w:rsid w:val="007061E5"/>
    <w:rsid w:val="00706A91"/>
    <w:rsid w:val="00707417"/>
    <w:rsid w:val="007103E8"/>
    <w:rsid w:val="007151B5"/>
    <w:rsid w:val="00724DEA"/>
    <w:rsid w:val="007250CB"/>
    <w:rsid w:val="0072512D"/>
    <w:rsid w:val="0072549F"/>
    <w:rsid w:val="00736891"/>
    <w:rsid w:val="00740B81"/>
    <w:rsid w:val="00742C09"/>
    <w:rsid w:val="0074457B"/>
    <w:rsid w:val="00745093"/>
    <w:rsid w:val="00753CB6"/>
    <w:rsid w:val="0076227D"/>
    <w:rsid w:val="007776FB"/>
    <w:rsid w:val="007871B7"/>
    <w:rsid w:val="00790790"/>
    <w:rsid w:val="00790A58"/>
    <w:rsid w:val="00791B21"/>
    <w:rsid w:val="007A35CE"/>
    <w:rsid w:val="007A3F9D"/>
    <w:rsid w:val="007B0067"/>
    <w:rsid w:val="007B5A68"/>
    <w:rsid w:val="007B6B4E"/>
    <w:rsid w:val="007C6E36"/>
    <w:rsid w:val="007D67AC"/>
    <w:rsid w:val="007E6099"/>
    <w:rsid w:val="007F0A81"/>
    <w:rsid w:val="007F351B"/>
    <w:rsid w:val="007F4F48"/>
    <w:rsid w:val="008042ED"/>
    <w:rsid w:val="0080451E"/>
    <w:rsid w:val="008107DA"/>
    <w:rsid w:val="008134AC"/>
    <w:rsid w:val="00813855"/>
    <w:rsid w:val="00815B1B"/>
    <w:rsid w:val="008267D3"/>
    <w:rsid w:val="008323E2"/>
    <w:rsid w:val="00844E27"/>
    <w:rsid w:val="00855DB3"/>
    <w:rsid w:val="008650DE"/>
    <w:rsid w:val="0086666C"/>
    <w:rsid w:val="00871117"/>
    <w:rsid w:val="008726A3"/>
    <w:rsid w:val="008B5D60"/>
    <w:rsid w:val="008C3F41"/>
    <w:rsid w:val="008C594B"/>
    <w:rsid w:val="008D072A"/>
    <w:rsid w:val="008D3A84"/>
    <w:rsid w:val="008D3AC0"/>
    <w:rsid w:val="008D4C36"/>
    <w:rsid w:val="008D585F"/>
    <w:rsid w:val="008D7A1A"/>
    <w:rsid w:val="008E476B"/>
    <w:rsid w:val="008F1874"/>
    <w:rsid w:val="008F55FB"/>
    <w:rsid w:val="00906440"/>
    <w:rsid w:val="009100BA"/>
    <w:rsid w:val="009102EC"/>
    <w:rsid w:val="00912FBB"/>
    <w:rsid w:val="00920AEB"/>
    <w:rsid w:val="00922026"/>
    <w:rsid w:val="0093297F"/>
    <w:rsid w:val="009500F4"/>
    <w:rsid w:val="009513FF"/>
    <w:rsid w:val="009606D7"/>
    <w:rsid w:val="00961463"/>
    <w:rsid w:val="009632A9"/>
    <w:rsid w:val="00990E13"/>
    <w:rsid w:val="009B1833"/>
    <w:rsid w:val="009B79E6"/>
    <w:rsid w:val="009C048B"/>
    <w:rsid w:val="009E022B"/>
    <w:rsid w:val="009E1126"/>
    <w:rsid w:val="009F3536"/>
    <w:rsid w:val="009F46D8"/>
    <w:rsid w:val="009F53DC"/>
    <w:rsid w:val="009F69D4"/>
    <w:rsid w:val="00A01EC3"/>
    <w:rsid w:val="00A07F1A"/>
    <w:rsid w:val="00A12857"/>
    <w:rsid w:val="00A12B79"/>
    <w:rsid w:val="00A453E9"/>
    <w:rsid w:val="00A47E1E"/>
    <w:rsid w:val="00A50EF6"/>
    <w:rsid w:val="00A530A0"/>
    <w:rsid w:val="00A55D89"/>
    <w:rsid w:val="00A60512"/>
    <w:rsid w:val="00A6401A"/>
    <w:rsid w:val="00A64609"/>
    <w:rsid w:val="00A717A2"/>
    <w:rsid w:val="00A77A88"/>
    <w:rsid w:val="00A867B9"/>
    <w:rsid w:val="00A87218"/>
    <w:rsid w:val="00A927A9"/>
    <w:rsid w:val="00A9687D"/>
    <w:rsid w:val="00AA732D"/>
    <w:rsid w:val="00AB3764"/>
    <w:rsid w:val="00AB5539"/>
    <w:rsid w:val="00AB7F87"/>
    <w:rsid w:val="00AD260B"/>
    <w:rsid w:val="00AD2968"/>
    <w:rsid w:val="00AD78B9"/>
    <w:rsid w:val="00AE01F0"/>
    <w:rsid w:val="00AE2A87"/>
    <w:rsid w:val="00AF1373"/>
    <w:rsid w:val="00AF26B7"/>
    <w:rsid w:val="00B02235"/>
    <w:rsid w:val="00B0785D"/>
    <w:rsid w:val="00B10812"/>
    <w:rsid w:val="00B13686"/>
    <w:rsid w:val="00B206A9"/>
    <w:rsid w:val="00B27AB5"/>
    <w:rsid w:val="00B3301E"/>
    <w:rsid w:val="00B4007A"/>
    <w:rsid w:val="00B45923"/>
    <w:rsid w:val="00B5050E"/>
    <w:rsid w:val="00B50E26"/>
    <w:rsid w:val="00B53CC4"/>
    <w:rsid w:val="00B53E6B"/>
    <w:rsid w:val="00B63BFE"/>
    <w:rsid w:val="00B71175"/>
    <w:rsid w:val="00B744FB"/>
    <w:rsid w:val="00B76D1A"/>
    <w:rsid w:val="00B80359"/>
    <w:rsid w:val="00B85D0F"/>
    <w:rsid w:val="00B91680"/>
    <w:rsid w:val="00BC064D"/>
    <w:rsid w:val="00BC2E09"/>
    <w:rsid w:val="00BD38CD"/>
    <w:rsid w:val="00BF3D9A"/>
    <w:rsid w:val="00BF78F3"/>
    <w:rsid w:val="00C00671"/>
    <w:rsid w:val="00C0419E"/>
    <w:rsid w:val="00C10674"/>
    <w:rsid w:val="00C10DC4"/>
    <w:rsid w:val="00C228B4"/>
    <w:rsid w:val="00C323A8"/>
    <w:rsid w:val="00C60453"/>
    <w:rsid w:val="00C6226E"/>
    <w:rsid w:val="00C65C95"/>
    <w:rsid w:val="00C7721F"/>
    <w:rsid w:val="00C80D89"/>
    <w:rsid w:val="00C81F3C"/>
    <w:rsid w:val="00C915A8"/>
    <w:rsid w:val="00CA5817"/>
    <w:rsid w:val="00CB6928"/>
    <w:rsid w:val="00CC36F6"/>
    <w:rsid w:val="00CE0881"/>
    <w:rsid w:val="00CF1E59"/>
    <w:rsid w:val="00CF61E3"/>
    <w:rsid w:val="00D0458B"/>
    <w:rsid w:val="00D258C6"/>
    <w:rsid w:val="00D43184"/>
    <w:rsid w:val="00D46D2E"/>
    <w:rsid w:val="00D6692D"/>
    <w:rsid w:val="00D74679"/>
    <w:rsid w:val="00D80B32"/>
    <w:rsid w:val="00D91932"/>
    <w:rsid w:val="00DA49C7"/>
    <w:rsid w:val="00DA4C7E"/>
    <w:rsid w:val="00DA6857"/>
    <w:rsid w:val="00DA68C0"/>
    <w:rsid w:val="00DB4028"/>
    <w:rsid w:val="00DC17F9"/>
    <w:rsid w:val="00DC2650"/>
    <w:rsid w:val="00DC7DCC"/>
    <w:rsid w:val="00DD0526"/>
    <w:rsid w:val="00DD2505"/>
    <w:rsid w:val="00DD3873"/>
    <w:rsid w:val="00DE00C9"/>
    <w:rsid w:val="00DE1361"/>
    <w:rsid w:val="00DE34E8"/>
    <w:rsid w:val="00DE4E1A"/>
    <w:rsid w:val="00DE7089"/>
    <w:rsid w:val="00DF01C9"/>
    <w:rsid w:val="00E052C6"/>
    <w:rsid w:val="00E10CCD"/>
    <w:rsid w:val="00E15928"/>
    <w:rsid w:val="00E2080C"/>
    <w:rsid w:val="00E23C65"/>
    <w:rsid w:val="00E23E74"/>
    <w:rsid w:val="00E25F21"/>
    <w:rsid w:val="00E2712A"/>
    <w:rsid w:val="00E275F1"/>
    <w:rsid w:val="00E34801"/>
    <w:rsid w:val="00E35DCC"/>
    <w:rsid w:val="00E42F56"/>
    <w:rsid w:val="00E479F0"/>
    <w:rsid w:val="00E55174"/>
    <w:rsid w:val="00E55EB9"/>
    <w:rsid w:val="00E57E5C"/>
    <w:rsid w:val="00E63649"/>
    <w:rsid w:val="00E709C9"/>
    <w:rsid w:val="00E71F77"/>
    <w:rsid w:val="00E757AE"/>
    <w:rsid w:val="00E83ECC"/>
    <w:rsid w:val="00E93442"/>
    <w:rsid w:val="00E95A58"/>
    <w:rsid w:val="00EA490B"/>
    <w:rsid w:val="00EA56B2"/>
    <w:rsid w:val="00EB7062"/>
    <w:rsid w:val="00EC1FBF"/>
    <w:rsid w:val="00EC629A"/>
    <w:rsid w:val="00EC6A8F"/>
    <w:rsid w:val="00ED07AB"/>
    <w:rsid w:val="00ED504D"/>
    <w:rsid w:val="00ED79A8"/>
    <w:rsid w:val="00EE25BB"/>
    <w:rsid w:val="00EF11B2"/>
    <w:rsid w:val="00EF34FA"/>
    <w:rsid w:val="00F0605A"/>
    <w:rsid w:val="00F14B7D"/>
    <w:rsid w:val="00F17C58"/>
    <w:rsid w:val="00F2619A"/>
    <w:rsid w:val="00F26C79"/>
    <w:rsid w:val="00F31437"/>
    <w:rsid w:val="00F358D4"/>
    <w:rsid w:val="00F41F75"/>
    <w:rsid w:val="00F43395"/>
    <w:rsid w:val="00F51AD8"/>
    <w:rsid w:val="00F546FD"/>
    <w:rsid w:val="00F679D5"/>
    <w:rsid w:val="00F72F59"/>
    <w:rsid w:val="00F81B22"/>
    <w:rsid w:val="00F81FFC"/>
    <w:rsid w:val="00F951B5"/>
    <w:rsid w:val="00FA3A3C"/>
    <w:rsid w:val="00FA4652"/>
    <w:rsid w:val="00FB0A45"/>
    <w:rsid w:val="00FB12C7"/>
    <w:rsid w:val="00FB28A6"/>
    <w:rsid w:val="00FB4AFA"/>
    <w:rsid w:val="00FC254F"/>
    <w:rsid w:val="00FD4335"/>
    <w:rsid w:val="00FD5973"/>
    <w:rsid w:val="00FE4E35"/>
    <w:rsid w:val="00FE66DB"/>
    <w:rsid w:val="00FE7EDA"/>
    <w:rsid w:val="00FF1F00"/>
    <w:rsid w:val="00FF2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black"/>
    </o:shapedefaults>
    <o:shapelayout v:ext="edit">
      <o:idmap v:ext="edit" data="1"/>
    </o:shapelayout>
  </w:shapeDefaults>
  <w:decimalSymbol w:val=","/>
  <w:listSeparator w:val=";"/>
  <w14:docId w14:val="5662AEF6"/>
  <w15:docId w15:val="{49BB6070-4C37-4F0E-8B5B-D6F29EFB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90E13"/>
    <w:pPr>
      <w:spacing w:line="260" w:lineRule="exact"/>
    </w:pPr>
    <w:rPr>
      <w:rFonts w:ascii="ITC Franklin Gothic Std Book" w:hAnsi="ITC Franklin Gothic Std Book"/>
      <w:sz w:val="22"/>
      <w:szCs w:val="18"/>
      <w:lang w:val="en-GB"/>
    </w:rPr>
  </w:style>
  <w:style w:type="paragraph" w:styleId="Heading1">
    <w:name w:val="heading 1"/>
    <w:aliases w:val="Headline_1"/>
    <w:basedOn w:val="Normal"/>
    <w:next w:val="Normal"/>
    <w:link w:val="Heading1Char"/>
    <w:qFormat/>
    <w:rsid w:val="006759DD"/>
    <w:pPr>
      <w:keepNext/>
      <w:spacing w:line="300" w:lineRule="atLeast"/>
      <w:ind w:right="3402"/>
      <w:outlineLvl w:val="0"/>
    </w:pPr>
    <w:rPr>
      <w:rFonts w:ascii="ITC Franklin Gothic Std Med" w:hAnsi="ITC Franklin Gothic Std Med"/>
      <w:bCs/>
      <w:sz w:val="30"/>
    </w:rPr>
  </w:style>
  <w:style w:type="paragraph" w:styleId="Heading2">
    <w:name w:val="heading 2"/>
    <w:aliases w:val="Headline_2"/>
    <w:basedOn w:val="Normal"/>
    <w:next w:val="Normal"/>
    <w:qFormat/>
    <w:rsid w:val="006759DD"/>
    <w:pPr>
      <w:keepNext/>
      <w:spacing w:line="260" w:lineRule="atLeast"/>
      <w:ind w:right="3402"/>
      <w:outlineLvl w:val="1"/>
    </w:pPr>
    <w:rPr>
      <w:rFonts w:ascii="ITC Franklin Gothic Std Med" w:hAnsi="ITC Franklin Gothic Std Med" w:cs="Arial"/>
      <w:bCs/>
      <w:iCs/>
      <w:szCs w:val="28"/>
    </w:rPr>
  </w:style>
  <w:style w:type="paragraph" w:styleId="Heading3">
    <w:name w:val="heading 3"/>
    <w:aliases w:val="Headline_3"/>
    <w:basedOn w:val="Normal"/>
    <w:next w:val="Normal"/>
    <w:qFormat/>
    <w:rsid w:val="006759DD"/>
    <w:pPr>
      <w:keepNext/>
      <w:ind w:right="3402"/>
      <w:outlineLvl w:val="2"/>
    </w:pPr>
    <w:rPr>
      <w:rFonts w:ascii="ITC Franklin Gothic Std Med" w:hAnsi="ITC Franklin Gothic Std Med"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rsid w:val="00CA7E3F"/>
    <w:pPr>
      <w:autoSpaceDE w:val="0"/>
      <w:autoSpaceDN w:val="0"/>
      <w:adjustRightInd w:val="0"/>
    </w:pPr>
    <w:rPr>
      <w:szCs w:val="19"/>
    </w:rPr>
  </w:style>
  <w:style w:type="paragraph" w:styleId="Footer">
    <w:name w:val="footer"/>
    <w:basedOn w:val="Normal"/>
    <w:next w:val="Normal"/>
    <w:link w:val="FooterChar"/>
    <w:rsid w:val="008406D1"/>
    <w:pPr>
      <w:tabs>
        <w:tab w:val="center" w:pos="4153"/>
        <w:tab w:val="right" w:pos="8306"/>
      </w:tabs>
      <w:autoSpaceDE w:val="0"/>
      <w:autoSpaceDN w:val="0"/>
      <w:adjustRightInd w:val="0"/>
      <w:spacing w:line="180" w:lineRule="atLeast"/>
      <w:ind w:left="907"/>
    </w:pPr>
    <w:rPr>
      <w:rFonts w:ascii="Franklin Gothic Book" w:hAnsi="Franklin Gothic Book"/>
      <w:sz w:val="15"/>
      <w:szCs w:val="19"/>
    </w:rPr>
  </w:style>
  <w:style w:type="character" w:styleId="Hyperlink">
    <w:name w:val="Hyperlink"/>
    <w:basedOn w:val="DefaultParagraphFont"/>
    <w:rsid w:val="006759DD"/>
    <w:rPr>
      <w:rFonts w:ascii="ITC Franklin Gothic Book" w:hAnsi="ITC Franklin Gothic Book"/>
      <w:dstrike w:val="0"/>
      <w:color w:val="4D4D4D"/>
      <w:u w:val="single"/>
      <w:vertAlign w:val="baseline"/>
    </w:rPr>
  </w:style>
  <w:style w:type="table" w:customStyle="1" w:styleId="table1">
    <w:name w:val="table 1"/>
    <w:basedOn w:val="TableNormal"/>
    <w:rsid w:val="00C10DC4"/>
    <w:rPr>
      <w:rFonts w:ascii="ITC Franklin Gothic Std Book" w:hAnsi="ITC Franklin Gothic Std Book"/>
      <w:sz w:val="16"/>
    </w:rPr>
    <w:tblPr/>
  </w:style>
  <w:style w:type="paragraph" w:customStyle="1" w:styleId="Ingress">
    <w:name w:val="Ingress"/>
    <w:basedOn w:val="Normal"/>
    <w:link w:val="IngressChar"/>
    <w:qFormat/>
    <w:rsid w:val="00990E13"/>
    <w:rPr>
      <w:rFonts w:ascii="ITC Franklin Gothic Std Med" w:hAnsi="ITC Franklin Gothic Std Med"/>
    </w:rPr>
  </w:style>
  <w:style w:type="paragraph" w:styleId="Subtitle">
    <w:name w:val="Subtitle"/>
    <w:basedOn w:val="Normal"/>
    <w:next w:val="Normal"/>
    <w:link w:val="SubtitleChar"/>
    <w:rsid w:val="00D91932"/>
    <w:pPr>
      <w:spacing w:after="60"/>
      <w:jc w:val="center"/>
      <w:outlineLvl w:val="1"/>
    </w:pPr>
    <w:rPr>
      <w:rFonts w:ascii="Cambria" w:hAnsi="Cambria"/>
      <w:sz w:val="24"/>
      <w:szCs w:val="24"/>
    </w:rPr>
  </w:style>
  <w:style w:type="character" w:customStyle="1" w:styleId="IngressChar">
    <w:name w:val="Ingress Char"/>
    <w:basedOn w:val="DefaultParagraphFont"/>
    <w:link w:val="Ingress"/>
    <w:rsid w:val="00990E13"/>
    <w:rPr>
      <w:rFonts w:ascii="ITC Franklin Gothic Std Med" w:hAnsi="ITC Franklin Gothic Std Med"/>
      <w:sz w:val="22"/>
      <w:szCs w:val="18"/>
      <w:lang w:val="en-GB" w:eastAsia="en-US"/>
    </w:rPr>
  </w:style>
  <w:style w:type="character" w:customStyle="1" w:styleId="SubtitleChar">
    <w:name w:val="Subtitle Char"/>
    <w:basedOn w:val="DefaultParagraphFont"/>
    <w:link w:val="Subtitle"/>
    <w:rsid w:val="00D91932"/>
    <w:rPr>
      <w:rFonts w:ascii="Cambria" w:eastAsia="Times New Roman" w:hAnsi="Cambria" w:cs="Times New Roman"/>
      <w:sz w:val="24"/>
      <w:szCs w:val="24"/>
      <w:lang w:val="en-GB" w:eastAsia="en-US"/>
    </w:rPr>
  </w:style>
  <w:style w:type="paragraph" w:styleId="Title">
    <w:name w:val="Title"/>
    <w:basedOn w:val="Normal"/>
    <w:next w:val="Normal"/>
    <w:link w:val="TitleChar"/>
    <w:rsid w:val="00D9193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91932"/>
    <w:rPr>
      <w:rFonts w:ascii="Cambria" w:eastAsia="Times New Roman" w:hAnsi="Cambria" w:cs="Times New Roman"/>
      <w:b/>
      <w:bCs/>
      <w:kern w:val="28"/>
      <w:sz w:val="32"/>
      <w:szCs w:val="32"/>
      <w:lang w:val="en-GB" w:eastAsia="en-US"/>
    </w:rPr>
  </w:style>
  <w:style w:type="character" w:styleId="SubtleEmphasis">
    <w:name w:val="Subtle Emphasis"/>
    <w:basedOn w:val="DefaultParagraphFont"/>
    <w:uiPriority w:val="19"/>
    <w:rsid w:val="00D91932"/>
    <w:rPr>
      <w:i/>
      <w:iCs/>
      <w:color w:val="808080"/>
    </w:rPr>
  </w:style>
  <w:style w:type="paragraph" w:customStyle="1" w:styleId="Bodycopy">
    <w:name w:val="Body copy"/>
    <w:basedOn w:val="Normal"/>
    <w:link w:val="BodycopyChar"/>
    <w:qFormat/>
    <w:rsid w:val="00E757AE"/>
    <w:pPr>
      <w:ind w:right="2663"/>
    </w:pPr>
  </w:style>
  <w:style w:type="paragraph" w:styleId="ListParagraph">
    <w:name w:val="List Paragraph"/>
    <w:aliases w:val="Catalog"/>
    <w:basedOn w:val="Normal"/>
    <w:uiPriority w:val="34"/>
    <w:rsid w:val="00AF26B7"/>
    <w:pPr>
      <w:ind w:left="284" w:hanging="284"/>
    </w:pPr>
  </w:style>
  <w:style w:type="character" w:customStyle="1" w:styleId="BodycopyChar">
    <w:name w:val="Body copy Char"/>
    <w:basedOn w:val="DefaultParagraphFont"/>
    <w:link w:val="Bodycopy"/>
    <w:rsid w:val="00E757AE"/>
    <w:rPr>
      <w:rFonts w:ascii="ITC Franklin Gothic Std Book" w:hAnsi="ITC Franklin Gothic Std Book"/>
      <w:sz w:val="22"/>
      <w:szCs w:val="18"/>
      <w:lang w:val="en-GB" w:eastAsia="en-US"/>
    </w:rPr>
  </w:style>
  <w:style w:type="paragraph" w:styleId="BalloonText">
    <w:name w:val="Balloon Text"/>
    <w:basedOn w:val="Normal"/>
    <w:link w:val="BalloonTextChar"/>
    <w:rsid w:val="00E757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757AE"/>
    <w:rPr>
      <w:rFonts w:ascii="Tahoma" w:hAnsi="Tahoma" w:cs="Tahoma"/>
      <w:sz w:val="16"/>
      <w:szCs w:val="16"/>
      <w:lang w:val="en-GB" w:eastAsia="en-US"/>
    </w:rPr>
  </w:style>
  <w:style w:type="paragraph" w:customStyle="1" w:styleId="Footertexts">
    <w:name w:val="Footer_texts"/>
    <w:basedOn w:val="Footer"/>
    <w:link w:val="FootertextsChar"/>
    <w:qFormat/>
    <w:rsid w:val="00FA3A3C"/>
    <w:pPr>
      <w:spacing w:line="180" w:lineRule="exact"/>
      <w:ind w:left="1077"/>
    </w:pPr>
    <w:rPr>
      <w:rFonts w:ascii="ITC Franklin Gothic Std Book" w:hAnsi="ITC Franklin Gothic Std Book"/>
      <w:lang w:val="en-US"/>
    </w:rPr>
  </w:style>
  <w:style w:type="character" w:customStyle="1" w:styleId="FooterChar">
    <w:name w:val="Footer Char"/>
    <w:basedOn w:val="DefaultParagraphFont"/>
    <w:link w:val="Footer"/>
    <w:rsid w:val="00636977"/>
    <w:rPr>
      <w:rFonts w:ascii="Franklin Gothic Book" w:hAnsi="Franklin Gothic Book"/>
      <w:sz w:val="15"/>
      <w:szCs w:val="19"/>
      <w:lang w:val="en-GB" w:eastAsia="en-US"/>
    </w:rPr>
  </w:style>
  <w:style w:type="character" w:customStyle="1" w:styleId="FootertextsChar">
    <w:name w:val="Footer_texts Char"/>
    <w:basedOn w:val="FooterChar"/>
    <w:link w:val="Footertexts"/>
    <w:rsid w:val="00FA3A3C"/>
    <w:rPr>
      <w:rFonts w:ascii="ITC Franklin Gothic Std Book" w:hAnsi="ITC Franklin Gothic Std Book"/>
      <w:sz w:val="15"/>
      <w:szCs w:val="19"/>
      <w:lang w:val="en-US" w:eastAsia="en-US"/>
    </w:rPr>
  </w:style>
  <w:style w:type="paragraph" w:customStyle="1" w:styleId="Catalogs">
    <w:name w:val="Catalogs"/>
    <w:basedOn w:val="ListParagraph"/>
    <w:qFormat/>
    <w:rsid w:val="00740B81"/>
    <w:pPr>
      <w:tabs>
        <w:tab w:val="left" w:pos="567"/>
      </w:tabs>
      <w:ind w:right="2663"/>
    </w:pPr>
  </w:style>
  <w:style w:type="paragraph" w:customStyle="1" w:styleId="Headline">
    <w:name w:val="Headline"/>
    <w:basedOn w:val="Heading1"/>
    <w:qFormat/>
    <w:rsid w:val="002B63F2"/>
    <w:pPr>
      <w:spacing w:line="280" w:lineRule="exact"/>
      <w:ind w:right="3810"/>
    </w:pPr>
    <w:rPr>
      <w:sz w:val="24"/>
      <w:szCs w:val="22"/>
    </w:rPr>
  </w:style>
  <w:style w:type="paragraph" w:customStyle="1" w:styleId="Subheadline">
    <w:name w:val="Subheadline"/>
    <w:basedOn w:val="Heading1"/>
    <w:link w:val="SubheadlineChar"/>
    <w:qFormat/>
    <w:rsid w:val="002B63F2"/>
    <w:pPr>
      <w:spacing w:line="260" w:lineRule="exact"/>
    </w:pPr>
    <w:rPr>
      <w:sz w:val="22"/>
      <w:szCs w:val="22"/>
    </w:rPr>
  </w:style>
  <w:style w:type="character" w:customStyle="1" w:styleId="Heading1Char">
    <w:name w:val="Heading 1 Char"/>
    <w:aliases w:val="Headline_1 Char"/>
    <w:basedOn w:val="DefaultParagraphFont"/>
    <w:link w:val="Heading1"/>
    <w:rsid w:val="002B63F2"/>
    <w:rPr>
      <w:rFonts w:ascii="ITC Franklin Gothic Std Med" w:hAnsi="ITC Franklin Gothic Std Med"/>
      <w:bCs/>
      <w:sz w:val="30"/>
      <w:szCs w:val="18"/>
      <w:lang w:val="en-GB" w:eastAsia="en-US"/>
    </w:rPr>
  </w:style>
  <w:style w:type="character" w:customStyle="1" w:styleId="SubheadlineChar">
    <w:name w:val="Subheadline Char"/>
    <w:basedOn w:val="Heading1Char"/>
    <w:link w:val="Subheadline"/>
    <w:rsid w:val="002B63F2"/>
    <w:rPr>
      <w:rFonts w:ascii="ITC Franklin Gothic Std Med" w:hAnsi="ITC Franklin Gothic Std Med"/>
      <w:bCs/>
      <w:sz w:val="22"/>
      <w:szCs w:val="22"/>
      <w:lang w:val="en-GB" w:eastAsia="en-US"/>
    </w:rPr>
  </w:style>
  <w:style w:type="paragraph" w:customStyle="1" w:styleId="S1">
    <w:name w:val="S1"/>
    <w:basedOn w:val="Normal"/>
    <w:qFormat/>
    <w:rsid w:val="00BC064D"/>
    <w:pPr>
      <w:spacing w:line="240" w:lineRule="auto"/>
      <w:ind w:left="1304"/>
      <w:jc w:val="both"/>
    </w:pPr>
    <w:rPr>
      <w:rFonts w:ascii="Univers" w:eastAsiaTheme="minorHAnsi" w:hAnsi="Univers" w:cstheme="minorHAnsi"/>
      <w:sz w:val="20"/>
      <w:szCs w:val="20"/>
      <w:lang w:val="fi-FI"/>
    </w:rPr>
  </w:style>
  <w:style w:type="character" w:styleId="FollowedHyperlink">
    <w:name w:val="FollowedHyperlink"/>
    <w:basedOn w:val="DefaultParagraphFont"/>
    <w:semiHidden/>
    <w:unhideWhenUsed/>
    <w:rsid w:val="00540291"/>
    <w:rPr>
      <w:color w:val="800080" w:themeColor="followedHyperlink"/>
      <w:u w:val="single"/>
    </w:rPr>
  </w:style>
  <w:style w:type="character" w:styleId="CommentReference">
    <w:name w:val="annotation reference"/>
    <w:basedOn w:val="DefaultParagraphFont"/>
    <w:semiHidden/>
    <w:unhideWhenUsed/>
    <w:rsid w:val="0062515D"/>
    <w:rPr>
      <w:sz w:val="16"/>
      <w:szCs w:val="16"/>
    </w:rPr>
  </w:style>
  <w:style w:type="paragraph" w:styleId="CommentText">
    <w:name w:val="annotation text"/>
    <w:basedOn w:val="Normal"/>
    <w:link w:val="CommentTextChar"/>
    <w:semiHidden/>
    <w:unhideWhenUsed/>
    <w:rsid w:val="0062515D"/>
    <w:pPr>
      <w:spacing w:line="240" w:lineRule="auto"/>
    </w:pPr>
    <w:rPr>
      <w:sz w:val="20"/>
      <w:szCs w:val="20"/>
    </w:rPr>
  </w:style>
  <w:style w:type="character" w:customStyle="1" w:styleId="CommentTextChar">
    <w:name w:val="Comment Text Char"/>
    <w:basedOn w:val="DefaultParagraphFont"/>
    <w:link w:val="CommentText"/>
    <w:semiHidden/>
    <w:rsid w:val="0062515D"/>
    <w:rPr>
      <w:rFonts w:ascii="ITC Franklin Gothic Std Book" w:hAnsi="ITC Franklin Gothic Std Book"/>
      <w:lang w:val="en-GB"/>
    </w:rPr>
  </w:style>
  <w:style w:type="paragraph" w:styleId="CommentSubject">
    <w:name w:val="annotation subject"/>
    <w:basedOn w:val="CommentText"/>
    <w:next w:val="CommentText"/>
    <w:link w:val="CommentSubjectChar"/>
    <w:semiHidden/>
    <w:unhideWhenUsed/>
    <w:rsid w:val="0062515D"/>
    <w:rPr>
      <w:b/>
      <w:bCs/>
    </w:rPr>
  </w:style>
  <w:style w:type="character" w:customStyle="1" w:styleId="CommentSubjectChar">
    <w:name w:val="Comment Subject Char"/>
    <w:basedOn w:val="CommentTextChar"/>
    <w:link w:val="CommentSubject"/>
    <w:semiHidden/>
    <w:rsid w:val="0062515D"/>
    <w:rPr>
      <w:rFonts w:ascii="ITC Franklin Gothic Std Book" w:hAnsi="ITC Franklin Gothic Std Book"/>
      <w:b/>
      <w:bCs/>
      <w:lang w:val="en-GB"/>
    </w:rPr>
  </w:style>
  <w:style w:type="character" w:styleId="Strong">
    <w:name w:val="Strong"/>
    <w:basedOn w:val="DefaultParagraphFont"/>
    <w:uiPriority w:val="22"/>
    <w:qFormat/>
    <w:rsid w:val="00D46D2E"/>
    <w:rPr>
      <w:b/>
      <w:bCs/>
    </w:rPr>
  </w:style>
  <w:style w:type="paragraph" w:styleId="NormalWeb">
    <w:name w:val="Normal (Web)"/>
    <w:basedOn w:val="Normal"/>
    <w:uiPriority w:val="99"/>
    <w:semiHidden/>
    <w:unhideWhenUsed/>
    <w:rsid w:val="005D3C07"/>
    <w:pPr>
      <w:spacing w:before="100" w:beforeAutospacing="1" w:after="100" w:afterAutospacing="1" w:line="240" w:lineRule="auto"/>
    </w:pPr>
    <w:rPr>
      <w:rFonts w:ascii="Times New Roman" w:hAnsi="Times New Roman"/>
      <w:sz w:val="24"/>
      <w:szCs w:val="24"/>
      <w:lang w:val="fi-FI" w:eastAsia="fi-FI"/>
    </w:rPr>
  </w:style>
  <w:style w:type="character" w:customStyle="1" w:styleId="UnresolvedMention1">
    <w:name w:val="Unresolved Mention1"/>
    <w:basedOn w:val="DefaultParagraphFont"/>
    <w:uiPriority w:val="99"/>
    <w:semiHidden/>
    <w:unhideWhenUsed/>
    <w:rsid w:val="008F1874"/>
    <w:rPr>
      <w:color w:val="808080"/>
      <w:shd w:val="clear" w:color="auto" w:fill="E6E6E6"/>
    </w:rPr>
  </w:style>
  <w:style w:type="paragraph" w:styleId="BodyTextIndent">
    <w:name w:val="Body Text Indent"/>
    <w:basedOn w:val="Normal"/>
    <w:link w:val="BodyTextIndentChar"/>
    <w:uiPriority w:val="99"/>
    <w:unhideWhenUsed/>
    <w:rsid w:val="00613DC3"/>
    <w:pPr>
      <w:spacing w:after="120" w:line="240" w:lineRule="auto"/>
      <w:ind w:left="283"/>
    </w:pPr>
    <w:rPr>
      <w:rFonts w:ascii="Times New Roman" w:hAnsi="Times New Roman"/>
      <w:sz w:val="24"/>
      <w:szCs w:val="24"/>
      <w:lang w:val="fi-FI" w:eastAsia="fi-FI"/>
    </w:rPr>
  </w:style>
  <w:style w:type="character" w:customStyle="1" w:styleId="BodyTextIndentChar">
    <w:name w:val="Body Text Indent Char"/>
    <w:basedOn w:val="DefaultParagraphFont"/>
    <w:link w:val="BodyTextIndent"/>
    <w:uiPriority w:val="99"/>
    <w:rsid w:val="00613DC3"/>
    <w:rPr>
      <w:sz w:val="24"/>
      <w:szCs w:val="24"/>
      <w:lang w:val="fi-FI" w:eastAsia="fi-FI"/>
    </w:rPr>
  </w:style>
  <w:style w:type="paragraph" w:customStyle="1" w:styleId="ListNumberIndent">
    <w:name w:val="List Number Indent"/>
    <w:basedOn w:val="BodyText"/>
    <w:link w:val="ListNumberIndentChar"/>
    <w:qFormat/>
    <w:rsid w:val="00613DC3"/>
    <w:pPr>
      <w:tabs>
        <w:tab w:val="num" w:pos="1418"/>
      </w:tabs>
      <w:spacing w:after="240" w:line="240" w:lineRule="auto"/>
      <w:ind w:left="1418" w:hanging="709"/>
      <w:jc w:val="both"/>
    </w:pPr>
    <w:rPr>
      <w:rFonts w:asciiTheme="minorHAnsi" w:eastAsiaTheme="minorHAnsi" w:hAnsiTheme="minorHAnsi" w:cstheme="minorBidi"/>
      <w:szCs w:val="22"/>
      <w:lang w:val="fi-FI" w:eastAsia="fi-FI"/>
    </w:rPr>
  </w:style>
  <w:style w:type="paragraph" w:customStyle="1" w:styleId="ListRomanIndent">
    <w:name w:val="List Roman Indent"/>
    <w:basedOn w:val="BodyText"/>
    <w:rsid w:val="00613DC3"/>
    <w:pPr>
      <w:tabs>
        <w:tab w:val="num" w:pos="1440"/>
      </w:tabs>
      <w:spacing w:after="240" w:line="240" w:lineRule="auto"/>
      <w:ind w:left="1440" w:hanging="1440"/>
      <w:jc w:val="both"/>
    </w:pPr>
    <w:rPr>
      <w:rFonts w:asciiTheme="minorHAnsi" w:eastAsiaTheme="minorHAnsi" w:hAnsiTheme="minorHAnsi" w:cstheme="minorBidi"/>
      <w:szCs w:val="22"/>
      <w:lang w:val="en-US"/>
    </w:rPr>
  </w:style>
  <w:style w:type="character" w:customStyle="1" w:styleId="ListNumberIndentChar">
    <w:name w:val="List Number Indent Char"/>
    <w:basedOn w:val="BodyTextChar"/>
    <w:link w:val="ListNumberIndent"/>
    <w:rsid w:val="00613DC3"/>
    <w:rPr>
      <w:rFonts w:asciiTheme="minorHAnsi" w:eastAsiaTheme="minorHAnsi" w:hAnsiTheme="minorHAnsi" w:cstheme="minorBidi"/>
      <w:sz w:val="22"/>
      <w:szCs w:val="22"/>
      <w:lang w:val="fi-FI" w:eastAsia="fi-FI"/>
    </w:rPr>
  </w:style>
  <w:style w:type="paragraph" w:customStyle="1" w:styleId="ListThirdLevel">
    <w:name w:val="List Third Level"/>
    <w:basedOn w:val="BodyText"/>
    <w:rsid w:val="00613DC3"/>
    <w:pPr>
      <w:tabs>
        <w:tab w:val="num" w:pos="1440"/>
      </w:tabs>
      <w:spacing w:after="240" w:line="240" w:lineRule="auto"/>
      <w:ind w:left="1440" w:hanging="1440"/>
      <w:jc w:val="both"/>
    </w:pPr>
    <w:rPr>
      <w:rFonts w:asciiTheme="minorHAnsi" w:eastAsiaTheme="minorHAnsi" w:hAnsiTheme="minorHAnsi" w:cstheme="minorBidi"/>
      <w:szCs w:val="22"/>
      <w:lang w:val="en-US"/>
    </w:rPr>
  </w:style>
  <w:style w:type="paragraph" w:customStyle="1" w:styleId="DefinitionNumber">
    <w:name w:val="Definition Number"/>
    <w:basedOn w:val="Heading2"/>
    <w:qFormat/>
    <w:rsid w:val="00613DC3"/>
    <w:pPr>
      <w:keepNext w:val="0"/>
      <w:spacing w:before="60" w:after="240" w:line="240" w:lineRule="auto"/>
      <w:ind w:right="0"/>
      <w:jc w:val="both"/>
    </w:pPr>
    <w:rPr>
      <w:rFonts w:asciiTheme="majorHAnsi" w:eastAsiaTheme="majorEastAsia" w:hAnsiTheme="majorHAnsi" w:cstheme="majorBidi"/>
      <w:b/>
      <w:iCs w:val="0"/>
      <w:szCs w:val="26"/>
      <w:lang w:val="en-US"/>
    </w:rPr>
  </w:style>
  <w:style w:type="paragraph" w:styleId="FootnoteText">
    <w:name w:val="footnote text"/>
    <w:basedOn w:val="BodyText"/>
    <w:link w:val="FootnoteTextChar"/>
    <w:rsid w:val="00613DC3"/>
    <w:pPr>
      <w:spacing w:after="60" w:line="240" w:lineRule="auto"/>
      <w:jc w:val="both"/>
    </w:pPr>
    <w:rPr>
      <w:rFonts w:asciiTheme="minorHAnsi" w:eastAsiaTheme="minorHAnsi" w:hAnsiTheme="minorHAnsi" w:cstheme="minorBidi"/>
      <w:sz w:val="16"/>
      <w:szCs w:val="20"/>
      <w:lang w:val="en-US"/>
    </w:rPr>
  </w:style>
  <w:style w:type="character" w:customStyle="1" w:styleId="FootnoteTextChar">
    <w:name w:val="Footnote Text Char"/>
    <w:basedOn w:val="DefaultParagraphFont"/>
    <w:link w:val="FootnoteText"/>
    <w:rsid w:val="00613DC3"/>
    <w:rPr>
      <w:rFonts w:asciiTheme="minorHAnsi" w:eastAsiaTheme="minorHAnsi" w:hAnsiTheme="minorHAnsi" w:cstheme="minorBidi"/>
      <w:sz w:val="16"/>
    </w:rPr>
  </w:style>
  <w:style w:type="paragraph" w:customStyle="1" w:styleId="ScheduleHeading">
    <w:name w:val="Schedule Heading"/>
    <w:basedOn w:val="BodyText"/>
    <w:next w:val="BodyTextIndent"/>
    <w:qFormat/>
    <w:rsid w:val="00613DC3"/>
    <w:pPr>
      <w:tabs>
        <w:tab w:val="num" w:pos="2160"/>
      </w:tabs>
      <w:spacing w:after="240" w:line="240" w:lineRule="auto"/>
      <w:ind w:left="2160" w:hanging="2160"/>
      <w:jc w:val="both"/>
    </w:pPr>
    <w:rPr>
      <w:rFonts w:asciiTheme="minorHAnsi" w:eastAsiaTheme="minorHAnsi" w:hAnsiTheme="minorHAnsi" w:cstheme="minorBidi"/>
      <w:b/>
      <w:sz w:val="24"/>
      <w:szCs w:val="22"/>
      <w:u w:val="single"/>
      <w:lang w:val="en-US"/>
    </w:rPr>
  </w:style>
  <w:style w:type="paragraph" w:customStyle="1" w:styleId="ScheduleReference">
    <w:name w:val="Schedule Reference"/>
    <w:basedOn w:val="BodyText"/>
    <w:next w:val="ScheduleHeading"/>
    <w:qFormat/>
    <w:rsid w:val="00613DC3"/>
    <w:pPr>
      <w:tabs>
        <w:tab w:val="num" w:pos="1800"/>
      </w:tabs>
      <w:spacing w:after="240" w:line="240" w:lineRule="auto"/>
      <w:ind w:left="1800" w:hanging="1800"/>
      <w:jc w:val="right"/>
    </w:pPr>
    <w:rPr>
      <w:rFonts w:asciiTheme="minorHAnsi" w:eastAsiaTheme="minorHAnsi" w:hAnsiTheme="minorHAnsi" w:cstheme="minorBidi"/>
      <w:b/>
      <w:caps/>
      <w:szCs w:val="22"/>
      <w:lang w:val="en-US"/>
    </w:rPr>
  </w:style>
  <w:style w:type="character" w:styleId="FootnoteReference">
    <w:name w:val="footnote reference"/>
    <w:basedOn w:val="DefaultParagraphFont"/>
    <w:rsid w:val="00613DC3"/>
    <w:rPr>
      <w:vertAlign w:val="superscript"/>
    </w:rPr>
  </w:style>
  <w:style w:type="paragraph" w:styleId="BodyText">
    <w:name w:val="Body Text"/>
    <w:basedOn w:val="Normal"/>
    <w:link w:val="BodyTextChar"/>
    <w:semiHidden/>
    <w:unhideWhenUsed/>
    <w:rsid w:val="00613DC3"/>
    <w:pPr>
      <w:spacing w:after="120"/>
    </w:pPr>
  </w:style>
  <w:style w:type="character" w:customStyle="1" w:styleId="BodyTextChar">
    <w:name w:val="Body Text Char"/>
    <w:basedOn w:val="DefaultParagraphFont"/>
    <w:link w:val="BodyText"/>
    <w:semiHidden/>
    <w:rsid w:val="00613DC3"/>
    <w:rPr>
      <w:rFonts w:ascii="ITC Franklin Gothic Std Book" w:hAnsi="ITC Franklin Gothic Std Book"/>
      <w:sz w:val="22"/>
      <w:szCs w:val="18"/>
      <w:lang w:val="en-GB"/>
    </w:rPr>
  </w:style>
  <w:style w:type="paragraph" w:styleId="Revision">
    <w:name w:val="Revision"/>
    <w:hidden/>
    <w:uiPriority w:val="99"/>
    <w:semiHidden/>
    <w:rsid w:val="000D134B"/>
    <w:rPr>
      <w:rFonts w:ascii="ITC Franklin Gothic Std Book" w:hAnsi="ITC Franklin Gothic Std Book"/>
      <w:sz w:val="22"/>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3532">
      <w:bodyDiv w:val="1"/>
      <w:marLeft w:val="0"/>
      <w:marRight w:val="0"/>
      <w:marTop w:val="0"/>
      <w:marBottom w:val="0"/>
      <w:divBdr>
        <w:top w:val="none" w:sz="0" w:space="0" w:color="auto"/>
        <w:left w:val="none" w:sz="0" w:space="0" w:color="auto"/>
        <w:bottom w:val="none" w:sz="0" w:space="0" w:color="auto"/>
        <w:right w:val="none" w:sz="0" w:space="0" w:color="auto"/>
      </w:divBdr>
    </w:div>
    <w:div w:id="102044989">
      <w:bodyDiv w:val="1"/>
      <w:marLeft w:val="0"/>
      <w:marRight w:val="0"/>
      <w:marTop w:val="0"/>
      <w:marBottom w:val="0"/>
      <w:divBdr>
        <w:top w:val="none" w:sz="0" w:space="0" w:color="auto"/>
        <w:left w:val="none" w:sz="0" w:space="0" w:color="auto"/>
        <w:bottom w:val="none" w:sz="0" w:space="0" w:color="auto"/>
        <w:right w:val="none" w:sz="0" w:space="0" w:color="auto"/>
      </w:divBdr>
    </w:div>
    <w:div w:id="238366192">
      <w:bodyDiv w:val="1"/>
      <w:marLeft w:val="0"/>
      <w:marRight w:val="0"/>
      <w:marTop w:val="0"/>
      <w:marBottom w:val="0"/>
      <w:divBdr>
        <w:top w:val="none" w:sz="0" w:space="0" w:color="auto"/>
        <w:left w:val="none" w:sz="0" w:space="0" w:color="auto"/>
        <w:bottom w:val="none" w:sz="0" w:space="0" w:color="auto"/>
        <w:right w:val="none" w:sz="0" w:space="0" w:color="auto"/>
      </w:divBdr>
    </w:div>
    <w:div w:id="339549771">
      <w:bodyDiv w:val="1"/>
      <w:marLeft w:val="0"/>
      <w:marRight w:val="0"/>
      <w:marTop w:val="0"/>
      <w:marBottom w:val="0"/>
      <w:divBdr>
        <w:top w:val="none" w:sz="0" w:space="0" w:color="auto"/>
        <w:left w:val="none" w:sz="0" w:space="0" w:color="auto"/>
        <w:bottom w:val="none" w:sz="0" w:space="0" w:color="auto"/>
        <w:right w:val="none" w:sz="0" w:space="0" w:color="auto"/>
      </w:divBdr>
    </w:div>
    <w:div w:id="410784469">
      <w:bodyDiv w:val="1"/>
      <w:marLeft w:val="0"/>
      <w:marRight w:val="0"/>
      <w:marTop w:val="0"/>
      <w:marBottom w:val="0"/>
      <w:divBdr>
        <w:top w:val="none" w:sz="0" w:space="0" w:color="auto"/>
        <w:left w:val="none" w:sz="0" w:space="0" w:color="auto"/>
        <w:bottom w:val="none" w:sz="0" w:space="0" w:color="auto"/>
        <w:right w:val="none" w:sz="0" w:space="0" w:color="auto"/>
      </w:divBdr>
    </w:div>
    <w:div w:id="443034884">
      <w:bodyDiv w:val="1"/>
      <w:marLeft w:val="0"/>
      <w:marRight w:val="0"/>
      <w:marTop w:val="0"/>
      <w:marBottom w:val="0"/>
      <w:divBdr>
        <w:top w:val="none" w:sz="0" w:space="0" w:color="auto"/>
        <w:left w:val="none" w:sz="0" w:space="0" w:color="auto"/>
        <w:bottom w:val="none" w:sz="0" w:space="0" w:color="auto"/>
        <w:right w:val="none" w:sz="0" w:space="0" w:color="auto"/>
      </w:divBdr>
    </w:div>
    <w:div w:id="547454017">
      <w:bodyDiv w:val="1"/>
      <w:marLeft w:val="0"/>
      <w:marRight w:val="0"/>
      <w:marTop w:val="0"/>
      <w:marBottom w:val="0"/>
      <w:divBdr>
        <w:top w:val="none" w:sz="0" w:space="0" w:color="auto"/>
        <w:left w:val="none" w:sz="0" w:space="0" w:color="auto"/>
        <w:bottom w:val="none" w:sz="0" w:space="0" w:color="auto"/>
        <w:right w:val="none" w:sz="0" w:space="0" w:color="auto"/>
      </w:divBdr>
    </w:div>
    <w:div w:id="617488744">
      <w:bodyDiv w:val="1"/>
      <w:marLeft w:val="0"/>
      <w:marRight w:val="0"/>
      <w:marTop w:val="0"/>
      <w:marBottom w:val="0"/>
      <w:divBdr>
        <w:top w:val="none" w:sz="0" w:space="0" w:color="auto"/>
        <w:left w:val="none" w:sz="0" w:space="0" w:color="auto"/>
        <w:bottom w:val="none" w:sz="0" w:space="0" w:color="auto"/>
        <w:right w:val="none" w:sz="0" w:space="0" w:color="auto"/>
      </w:divBdr>
    </w:div>
    <w:div w:id="644629252">
      <w:bodyDiv w:val="1"/>
      <w:marLeft w:val="0"/>
      <w:marRight w:val="0"/>
      <w:marTop w:val="0"/>
      <w:marBottom w:val="0"/>
      <w:divBdr>
        <w:top w:val="none" w:sz="0" w:space="0" w:color="auto"/>
        <w:left w:val="none" w:sz="0" w:space="0" w:color="auto"/>
        <w:bottom w:val="none" w:sz="0" w:space="0" w:color="auto"/>
        <w:right w:val="none" w:sz="0" w:space="0" w:color="auto"/>
      </w:divBdr>
    </w:div>
    <w:div w:id="687876988">
      <w:bodyDiv w:val="1"/>
      <w:marLeft w:val="0"/>
      <w:marRight w:val="0"/>
      <w:marTop w:val="0"/>
      <w:marBottom w:val="0"/>
      <w:divBdr>
        <w:top w:val="none" w:sz="0" w:space="0" w:color="auto"/>
        <w:left w:val="none" w:sz="0" w:space="0" w:color="auto"/>
        <w:bottom w:val="none" w:sz="0" w:space="0" w:color="auto"/>
        <w:right w:val="none" w:sz="0" w:space="0" w:color="auto"/>
      </w:divBdr>
    </w:div>
    <w:div w:id="742601462">
      <w:bodyDiv w:val="1"/>
      <w:marLeft w:val="0"/>
      <w:marRight w:val="0"/>
      <w:marTop w:val="0"/>
      <w:marBottom w:val="0"/>
      <w:divBdr>
        <w:top w:val="none" w:sz="0" w:space="0" w:color="auto"/>
        <w:left w:val="none" w:sz="0" w:space="0" w:color="auto"/>
        <w:bottom w:val="none" w:sz="0" w:space="0" w:color="auto"/>
        <w:right w:val="none" w:sz="0" w:space="0" w:color="auto"/>
      </w:divBdr>
    </w:div>
    <w:div w:id="821972800">
      <w:bodyDiv w:val="1"/>
      <w:marLeft w:val="0"/>
      <w:marRight w:val="0"/>
      <w:marTop w:val="0"/>
      <w:marBottom w:val="0"/>
      <w:divBdr>
        <w:top w:val="none" w:sz="0" w:space="0" w:color="auto"/>
        <w:left w:val="none" w:sz="0" w:space="0" w:color="auto"/>
        <w:bottom w:val="none" w:sz="0" w:space="0" w:color="auto"/>
        <w:right w:val="none" w:sz="0" w:space="0" w:color="auto"/>
      </w:divBdr>
    </w:div>
    <w:div w:id="1018041280">
      <w:bodyDiv w:val="1"/>
      <w:marLeft w:val="0"/>
      <w:marRight w:val="0"/>
      <w:marTop w:val="0"/>
      <w:marBottom w:val="0"/>
      <w:divBdr>
        <w:top w:val="none" w:sz="0" w:space="0" w:color="auto"/>
        <w:left w:val="none" w:sz="0" w:space="0" w:color="auto"/>
        <w:bottom w:val="none" w:sz="0" w:space="0" w:color="auto"/>
        <w:right w:val="none" w:sz="0" w:space="0" w:color="auto"/>
      </w:divBdr>
    </w:div>
    <w:div w:id="1193225178">
      <w:bodyDiv w:val="1"/>
      <w:marLeft w:val="0"/>
      <w:marRight w:val="0"/>
      <w:marTop w:val="0"/>
      <w:marBottom w:val="0"/>
      <w:divBdr>
        <w:top w:val="none" w:sz="0" w:space="0" w:color="auto"/>
        <w:left w:val="none" w:sz="0" w:space="0" w:color="auto"/>
        <w:bottom w:val="none" w:sz="0" w:space="0" w:color="auto"/>
        <w:right w:val="none" w:sz="0" w:space="0" w:color="auto"/>
      </w:divBdr>
    </w:div>
    <w:div w:id="1557620352">
      <w:bodyDiv w:val="1"/>
      <w:marLeft w:val="0"/>
      <w:marRight w:val="0"/>
      <w:marTop w:val="0"/>
      <w:marBottom w:val="0"/>
      <w:divBdr>
        <w:top w:val="none" w:sz="0" w:space="0" w:color="auto"/>
        <w:left w:val="none" w:sz="0" w:space="0" w:color="auto"/>
        <w:bottom w:val="none" w:sz="0" w:space="0" w:color="auto"/>
        <w:right w:val="none" w:sz="0" w:space="0" w:color="auto"/>
      </w:divBdr>
    </w:div>
    <w:div w:id="1856725115">
      <w:bodyDiv w:val="1"/>
      <w:marLeft w:val="0"/>
      <w:marRight w:val="0"/>
      <w:marTop w:val="0"/>
      <w:marBottom w:val="0"/>
      <w:divBdr>
        <w:top w:val="none" w:sz="0" w:space="0" w:color="auto"/>
        <w:left w:val="none" w:sz="0" w:space="0" w:color="auto"/>
        <w:bottom w:val="none" w:sz="0" w:space="0" w:color="auto"/>
        <w:right w:val="none" w:sz="0" w:space="0" w:color="auto"/>
      </w:divBdr>
    </w:div>
    <w:div w:id="191662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2455</Words>
  <Characters>22075</Characters>
  <Application>Microsoft Office Word</Application>
  <DocSecurity>0</DocSecurity>
  <Lines>183</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Konecranes Word Template</vt:lpstr>
      <vt:lpstr>Konecranes Word Template</vt:lpstr>
    </vt:vector>
  </TitlesOfParts>
  <Manager>Satu Rouhiainen / Growparners</Manager>
  <Company>grow.</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Konecranes Word Template</dc:title>
  <dc:subject>letter A4</dc:subject>
  <dc:creator>Elina Tuohinto</dc:creator>
  <cp:lastModifiedBy>Virpi Vuori</cp:lastModifiedBy>
  <cp:revision>3</cp:revision>
  <cp:lastPrinted>2015-03-25T09:26:00Z</cp:lastPrinted>
  <dcterms:created xsi:type="dcterms:W3CDTF">2019-03-27T16:10:00Z</dcterms:created>
  <dcterms:modified xsi:type="dcterms:W3CDTF">2019-03-28T10:15:00Z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W/8998944/v4</vt:lpwstr>
  </property>
</Properties>
</file>